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14:paraId="1B48C20E" w14:textId="77777777" w:rsidTr="0047741D">
        <w:trPr>
          <w:gridAfter w:val="1"/>
          <w:wAfter w:w="2835" w:type="dxa"/>
          <w:cantSplit/>
          <w:trHeight w:val="569"/>
        </w:trPr>
        <w:tc>
          <w:tcPr>
            <w:tcW w:w="4786" w:type="dxa"/>
            <w:shd w:val="clear" w:color="auto" w:fill="BFBFBF"/>
            <w:vAlign w:val="center"/>
          </w:tcPr>
          <w:p w14:paraId="1B48C20C" w14:textId="298328D9" w:rsidR="002F5C5E" w:rsidRPr="009E2B84" w:rsidRDefault="00876244"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1B48C2E4" wp14:editId="793AFB9F">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14:paraId="1B48C20D" w14:textId="77777777" w:rsidR="002F5C5E" w:rsidRPr="009E2B84" w:rsidRDefault="002F5C5E" w:rsidP="00AC4A99">
            <w:pPr>
              <w:jc w:val="center"/>
              <w:rPr>
                <w:b/>
              </w:rPr>
            </w:pPr>
            <w:r w:rsidRPr="009E2B84">
              <w:rPr>
                <w:b/>
              </w:rPr>
              <w:t>ON</w:t>
            </w:r>
          </w:p>
        </w:tc>
      </w:tr>
      <w:tr w:rsidR="002F5C5E" w:rsidRPr="009E2B84" w14:paraId="1B48C211" w14:textId="77777777" w:rsidTr="0047741D">
        <w:trPr>
          <w:gridAfter w:val="1"/>
          <w:wAfter w:w="2835" w:type="dxa"/>
          <w:cantSplit/>
          <w:trHeight w:val="654"/>
        </w:trPr>
        <w:tc>
          <w:tcPr>
            <w:tcW w:w="4786" w:type="dxa"/>
            <w:tcBorders>
              <w:bottom w:val="nil"/>
            </w:tcBorders>
            <w:vAlign w:val="center"/>
          </w:tcPr>
          <w:p w14:paraId="1B48C20F" w14:textId="77777777" w:rsidR="002F5C5E" w:rsidRPr="00BE2A3F" w:rsidRDefault="00392E2E" w:rsidP="00AC4A99">
            <w:pPr>
              <w:jc w:val="center"/>
              <w:rPr>
                <w:b/>
                <w:szCs w:val="22"/>
              </w:rPr>
            </w:pPr>
            <w:r w:rsidRPr="00392E2E">
              <w:rPr>
                <w:b/>
                <w:szCs w:val="22"/>
              </w:rPr>
              <w:t xml:space="preserve">Governance </w:t>
            </w:r>
            <w:r w:rsidR="00EB2D32" w:rsidRPr="00BE2A3F">
              <w:rPr>
                <w:b/>
                <w:szCs w:val="22"/>
              </w:rPr>
              <w:t>Committee</w:t>
            </w:r>
          </w:p>
        </w:tc>
        <w:tc>
          <w:tcPr>
            <w:tcW w:w="2268" w:type="dxa"/>
            <w:gridSpan w:val="2"/>
            <w:tcBorders>
              <w:bottom w:val="nil"/>
            </w:tcBorders>
            <w:vAlign w:val="center"/>
          </w:tcPr>
          <w:p w14:paraId="1B48C210" w14:textId="77777777" w:rsidR="002F5C5E" w:rsidRPr="009E2B84" w:rsidRDefault="007E5760" w:rsidP="0047741D">
            <w:pPr>
              <w:jc w:val="center"/>
              <w:rPr>
                <w:b/>
              </w:rPr>
            </w:pPr>
            <w:r>
              <w:rPr>
                <w:b/>
                <w:szCs w:val="22"/>
              </w:rPr>
              <w:t>20 September</w:t>
            </w:r>
            <w:r w:rsidR="00392E2E" w:rsidRPr="00392E2E">
              <w:rPr>
                <w:b/>
                <w:szCs w:val="22"/>
              </w:rPr>
              <w:t xml:space="preserve"> 2018</w:t>
            </w:r>
          </w:p>
        </w:tc>
      </w:tr>
      <w:tr w:rsidR="002F5C5E" w:rsidRPr="009E2B84" w14:paraId="1B48C213" w14:textId="77777777" w:rsidTr="0047741D">
        <w:trPr>
          <w:gridAfter w:val="1"/>
          <w:wAfter w:w="2835" w:type="dxa"/>
          <w:cantSplit/>
          <w:trHeight w:val="560"/>
        </w:trPr>
        <w:tc>
          <w:tcPr>
            <w:tcW w:w="7054" w:type="dxa"/>
            <w:gridSpan w:val="3"/>
            <w:tcBorders>
              <w:left w:val="nil"/>
              <w:right w:val="nil"/>
            </w:tcBorders>
          </w:tcPr>
          <w:p w14:paraId="1B48C212" w14:textId="77777777" w:rsidR="002F5C5E" w:rsidRPr="009E2B84" w:rsidRDefault="002F5C5E" w:rsidP="003902A2">
            <w:pPr>
              <w:jc w:val="right"/>
              <w:rPr>
                <w:sz w:val="8"/>
              </w:rPr>
            </w:pPr>
          </w:p>
        </w:tc>
      </w:tr>
      <w:tr w:rsidR="0047741D" w:rsidRPr="009E2B84" w14:paraId="1B48C216" w14:textId="77777777" w:rsidTr="0047741D">
        <w:trPr>
          <w:cantSplit/>
        </w:trPr>
        <w:tc>
          <w:tcPr>
            <w:tcW w:w="6912" w:type="dxa"/>
            <w:gridSpan w:val="2"/>
            <w:shd w:val="clear" w:color="auto" w:fill="BFBFBF"/>
            <w:vAlign w:val="center"/>
          </w:tcPr>
          <w:p w14:paraId="1B48C214" w14:textId="77777777" w:rsidR="0047741D" w:rsidRPr="009E2B84" w:rsidRDefault="0047741D" w:rsidP="00E2196F">
            <w:pPr>
              <w:jc w:val="center"/>
              <w:rPr>
                <w:b/>
              </w:rPr>
            </w:pPr>
            <w:r w:rsidRPr="009E2B84">
              <w:rPr>
                <w:b/>
              </w:rPr>
              <w:t>TITLE</w:t>
            </w:r>
          </w:p>
        </w:tc>
        <w:tc>
          <w:tcPr>
            <w:tcW w:w="2977" w:type="dxa"/>
            <w:gridSpan w:val="2"/>
            <w:shd w:val="clear" w:color="auto" w:fill="BFBFBF"/>
            <w:vAlign w:val="center"/>
          </w:tcPr>
          <w:p w14:paraId="1B48C215" w14:textId="77777777" w:rsidR="0047741D" w:rsidRPr="009E2B84" w:rsidRDefault="0047741D" w:rsidP="00E2196F">
            <w:pPr>
              <w:jc w:val="center"/>
              <w:rPr>
                <w:b/>
              </w:rPr>
            </w:pPr>
            <w:r>
              <w:rPr>
                <w:b/>
              </w:rPr>
              <w:t>REPORT OF</w:t>
            </w:r>
          </w:p>
        </w:tc>
      </w:tr>
      <w:tr w:rsidR="0047741D" w:rsidRPr="009E2B84" w14:paraId="1B48C21B" w14:textId="77777777" w:rsidTr="0047741D">
        <w:trPr>
          <w:cantSplit/>
          <w:trHeight w:val="667"/>
        </w:trPr>
        <w:tc>
          <w:tcPr>
            <w:tcW w:w="6912" w:type="dxa"/>
            <w:gridSpan w:val="2"/>
            <w:vAlign w:val="center"/>
          </w:tcPr>
          <w:p w14:paraId="1B48C217" w14:textId="77777777" w:rsidR="0047741D" w:rsidRPr="009E2B84" w:rsidRDefault="0047741D" w:rsidP="00E2196F">
            <w:pPr>
              <w:rPr>
                <w:b/>
              </w:rPr>
            </w:pPr>
          </w:p>
          <w:p w14:paraId="1B48C218" w14:textId="77777777" w:rsidR="0047741D" w:rsidRPr="00392E2E" w:rsidRDefault="007E5760" w:rsidP="00392E2E">
            <w:pPr>
              <w:jc w:val="center"/>
              <w:rPr>
                <w:b/>
                <w:szCs w:val="22"/>
              </w:rPr>
            </w:pPr>
            <w:r>
              <w:rPr>
                <w:b/>
                <w:szCs w:val="22"/>
              </w:rPr>
              <w:t>Amended Investment Strategy Options 2018/19</w:t>
            </w:r>
          </w:p>
          <w:p w14:paraId="1B48C219" w14:textId="77777777" w:rsidR="0047741D" w:rsidRPr="009E2B84" w:rsidRDefault="0047741D" w:rsidP="00E2196F">
            <w:pPr>
              <w:jc w:val="center"/>
              <w:rPr>
                <w:b/>
              </w:rPr>
            </w:pPr>
          </w:p>
        </w:tc>
        <w:tc>
          <w:tcPr>
            <w:tcW w:w="2977" w:type="dxa"/>
            <w:gridSpan w:val="2"/>
            <w:vAlign w:val="center"/>
          </w:tcPr>
          <w:p w14:paraId="1B48C21A" w14:textId="77777777" w:rsidR="0047741D" w:rsidRPr="009E2B84" w:rsidRDefault="00392E2E" w:rsidP="00C903AC">
            <w:pPr>
              <w:rPr>
                <w:i/>
              </w:rPr>
            </w:pPr>
            <w:r>
              <w:rPr>
                <w:b/>
                <w:szCs w:val="22"/>
              </w:rPr>
              <w:t>Deputy Chief Executive (Resources &amp; Transformation)</w:t>
            </w:r>
          </w:p>
        </w:tc>
      </w:tr>
    </w:tbl>
    <w:p w14:paraId="1B48C21C" w14:textId="71ABEF32" w:rsidR="002F5C5E" w:rsidRPr="009E2B84" w:rsidRDefault="002F5C5E" w:rsidP="002F5C5E">
      <w:bookmarkStart w:id="0" w:name="_GoBack"/>
      <w:bookmarkEnd w:id="0"/>
    </w:p>
    <w:p w14:paraId="1B48C21D" w14:textId="77777777"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14:paraId="1B48C223" w14:textId="77777777" w:rsidTr="00E2196F">
        <w:tc>
          <w:tcPr>
            <w:tcW w:w="6652" w:type="dxa"/>
            <w:shd w:val="clear" w:color="auto" w:fill="auto"/>
          </w:tcPr>
          <w:p w14:paraId="1B48C21E" w14:textId="77777777" w:rsidR="0047741D" w:rsidRDefault="0047741D" w:rsidP="00E2196F">
            <w:pPr>
              <w:rPr>
                <w:szCs w:val="22"/>
              </w:rPr>
            </w:pPr>
          </w:p>
          <w:p w14:paraId="1B48C21F" w14:textId="77777777" w:rsidR="0047741D" w:rsidRPr="009C1143" w:rsidRDefault="0047741D" w:rsidP="00E2196F">
            <w:pPr>
              <w:rPr>
                <w:szCs w:val="22"/>
              </w:rPr>
            </w:pPr>
            <w:r>
              <w:rPr>
                <w:szCs w:val="22"/>
              </w:rPr>
              <w:t>Is this report confidential?</w:t>
            </w:r>
          </w:p>
        </w:tc>
        <w:tc>
          <w:tcPr>
            <w:tcW w:w="3266" w:type="dxa"/>
            <w:shd w:val="clear" w:color="auto" w:fill="auto"/>
          </w:tcPr>
          <w:p w14:paraId="1B48C220" w14:textId="77777777" w:rsidR="0047741D" w:rsidRDefault="0047741D" w:rsidP="00E2196F">
            <w:pPr>
              <w:rPr>
                <w:szCs w:val="22"/>
              </w:rPr>
            </w:pPr>
          </w:p>
          <w:p w14:paraId="1B48C221" w14:textId="77777777" w:rsidR="00392E2E" w:rsidRPr="00392E2E" w:rsidRDefault="00392E2E" w:rsidP="00E2196F">
            <w:pPr>
              <w:rPr>
                <w:b/>
                <w:szCs w:val="22"/>
              </w:rPr>
            </w:pPr>
            <w:r w:rsidRPr="00392E2E">
              <w:rPr>
                <w:b/>
                <w:szCs w:val="22"/>
              </w:rPr>
              <w:t>No</w:t>
            </w:r>
          </w:p>
          <w:p w14:paraId="1B48C222" w14:textId="77777777" w:rsidR="00392E2E" w:rsidRPr="009C1143" w:rsidRDefault="00392E2E" w:rsidP="00E2196F">
            <w:pPr>
              <w:rPr>
                <w:szCs w:val="22"/>
              </w:rPr>
            </w:pPr>
          </w:p>
        </w:tc>
      </w:tr>
    </w:tbl>
    <w:p w14:paraId="1B48C224" w14:textId="77777777" w:rsidR="0047741D" w:rsidRDefault="0047741D" w:rsidP="002F5C5E">
      <w:pPr>
        <w:rPr>
          <w:sz w:val="16"/>
          <w:szCs w:val="16"/>
        </w:rPr>
      </w:pPr>
    </w:p>
    <w:p w14:paraId="1B48C225" w14:textId="77777777" w:rsidR="00EB2D32" w:rsidRPr="009C1143" w:rsidRDefault="00EB2D32" w:rsidP="002F5C5E">
      <w:pPr>
        <w:rPr>
          <w:sz w:val="16"/>
          <w:szCs w:val="16"/>
        </w:rPr>
      </w:pPr>
    </w:p>
    <w:p w14:paraId="1B48C226" w14:textId="77777777" w:rsidR="002F5C5E" w:rsidRDefault="002F5C5E" w:rsidP="002F5C5E">
      <w:pPr>
        <w:keepNext/>
        <w:numPr>
          <w:ilvl w:val="0"/>
          <w:numId w:val="8"/>
        </w:numPr>
        <w:outlineLvl w:val="0"/>
        <w:rPr>
          <w:b/>
          <w:szCs w:val="22"/>
        </w:rPr>
      </w:pPr>
      <w:r w:rsidRPr="009C1143">
        <w:rPr>
          <w:b/>
          <w:szCs w:val="22"/>
        </w:rPr>
        <w:t xml:space="preserve">PURPOSE OF THE REPORT  </w:t>
      </w:r>
    </w:p>
    <w:p w14:paraId="1B48C227" w14:textId="77777777" w:rsidR="000B5251" w:rsidRPr="009C1143" w:rsidRDefault="000B5251" w:rsidP="000B5251">
      <w:pPr>
        <w:keepNext/>
        <w:ind w:left="360"/>
        <w:outlineLvl w:val="0"/>
        <w:rPr>
          <w:b/>
          <w:szCs w:val="22"/>
        </w:rPr>
      </w:pPr>
    </w:p>
    <w:p w14:paraId="1B48C228" w14:textId="77777777" w:rsidR="002F5C5E" w:rsidRDefault="00E963AC" w:rsidP="002F5C5E">
      <w:pPr>
        <w:keepNext/>
        <w:ind w:left="360"/>
        <w:outlineLvl w:val="0"/>
        <w:rPr>
          <w:szCs w:val="22"/>
        </w:rPr>
      </w:pPr>
      <w:r>
        <w:rPr>
          <w:szCs w:val="22"/>
        </w:rPr>
        <w:t xml:space="preserve">To </w:t>
      </w:r>
      <w:r w:rsidR="007E5760">
        <w:rPr>
          <w:szCs w:val="22"/>
        </w:rPr>
        <w:t>compare the performance of this council’s treasury investments with the performance of other councils</w:t>
      </w:r>
      <w:r>
        <w:rPr>
          <w:szCs w:val="22"/>
        </w:rPr>
        <w:t>.</w:t>
      </w:r>
    </w:p>
    <w:p w14:paraId="1B48C229" w14:textId="77777777" w:rsidR="00E963AC" w:rsidRDefault="00E963AC" w:rsidP="002F5C5E">
      <w:pPr>
        <w:keepNext/>
        <w:ind w:left="360"/>
        <w:outlineLvl w:val="0"/>
        <w:rPr>
          <w:szCs w:val="22"/>
        </w:rPr>
      </w:pPr>
    </w:p>
    <w:p w14:paraId="1B48C22A" w14:textId="77777777" w:rsidR="00E963AC" w:rsidRPr="00E963AC" w:rsidRDefault="00E963AC" w:rsidP="002F5C5E">
      <w:pPr>
        <w:keepNext/>
        <w:ind w:left="360"/>
        <w:outlineLvl w:val="0"/>
        <w:rPr>
          <w:szCs w:val="22"/>
        </w:rPr>
      </w:pPr>
      <w:r>
        <w:rPr>
          <w:szCs w:val="22"/>
        </w:rPr>
        <w:t xml:space="preserve">To </w:t>
      </w:r>
      <w:r w:rsidR="007E5760">
        <w:rPr>
          <w:szCs w:val="22"/>
        </w:rPr>
        <w:t xml:space="preserve">propose </w:t>
      </w:r>
      <w:r w:rsidR="00B67E62">
        <w:rPr>
          <w:szCs w:val="22"/>
        </w:rPr>
        <w:t>an amendment</w:t>
      </w:r>
      <w:r w:rsidR="007E5760">
        <w:rPr>
          <w:szCs w:val="22"/>
        </w:rPr>
        <w:t xml:space="preserve"> to the Investment Strategy for 2018/19</w:t>
      </w:r>
      <w:r w:rsidR="00712FB6">
        <w:rPr>
          <w:szCs w:val="22"/>
        </w:rPr>
        <w:t xml:space="preserve">, which </w:t>
      </w:r>
      <w:r w:rsidR="007E5760">
        <w:rPr>
          <w:szCs w:val="22"/>
        </w:rPr>
        <w:t>require</w:t>
      </w:r>
      <w:r w:rsidR="00B67E62">
        <w:rPr>
          <w:szCs w:val="22"/>
        </w:rPr>
        <w:t>s</w:t>
      </w:r>
      <w:r w:rsidR="007E5760">
        <w:rPr>
          <w:szCs w:val="22"/>
        </w:rPr>
        <w:t xml:space="preserve"> the approval of Full Council</w:t>
      </w:r>
      <w:r>
        <w:rPr>
          <w:szCs w:val="22"/>
        </w:rPr>
        <w:t>.</w:t>
      </w:r>
    </w:p>
    <w:p w14:paraId="1B48C22B" w14:textId="77777777" w:rsidR="002F5C5E" w:rsidRPr="009C1143" w:rsidRDefault="002F5C5E" w:rsidP="002F5C5E">
      <w:pPr>
        <w:rPr>
          <w:sz w:val="16"/>
          <w:szCs w:val="16"/>
        </w:rPr>
      </w:pPr>
    </w:p>
    <w:p w14:paraId="1B48C22C" w14:textId="77777777" w:rsidR="002F5C5E" w:rsidRPr="009C1143" w:rsidRDefault="002F5C5E" w:rsidP="002F5C5E">
      <w:pPr>
        <w:rPr>
          <w:szCs w:val="22"/>
        </w:rPr>
      </w:pPr>
    </w:p>
    <w:p w14:paraId="1B48C22D" w14:textId="77777777" w:rsidR="002F5C5E" w:rsidRDefault="002F5C5E" w:rsidP="002F5C5E">
      <w:pPr>
        <w:keepNext/>
        <w:numPr>
          <w:ilvl w:val="0"/>
          <w:numId w:val="8"/>
        </w:numPr>
        <w:outlineLvl w:val="0"/>
        <w:rPr>
          <w:b/>
          <w:szCs w:val="22"/>
        </w:rPr>
      </w:pPr>
      <w:r w:rsidRPr="009C1143">
        <w:rPr>
          <w:b/>
          <w:szCs w:val="22"/>
        </w:rPr>
        <w:t>RECOMMENDATIONS</w:t>
      </w:r>
    </w:p>
    <w:p w14:paraId="1B48C22E" w14:textId="77777777" w:rsidR="000B5251" w:rsidRPr="009C1143" w:rsidRDefault="000B5251" w:rsidP="000B5251">
      <w:pPr>
        <w:keepNext/>
        <w:ind w:left="360"/>
        <w:outlineLvl w:val="0"/>
        <w:rPr>
          <w:b/>
          <w:szCs w:val="22"/>
        </w:rPr>
      </w:pPr>
    </w:p>
    <w:p w14:paraId="1B48C22F" w14:textId="77777777" w:rsidR="002F5C5E" w:rsidRPr="00E963AC" w:rsidRDefault="00E963AC" w:rsidP="00501257">
      <w:pPr>
        <w:ind w:left="360"/>
        <w:rPr>
          <w:szCs w:val="22"/>
        </w:rPr>
      </w:pPr>
      <w:r>
        <w:rPr>
          <w:szCs w:val="22"/>
        </w:rPr>
        <w:t xml:space="preserve">Members are asked to </w:t>
      </w:r>
      <w:r w:rsidR="007E5760">
        <w:rPr>
          <w:szCs w:val="22"/>
        </w:rPr>
        <w:t xml:space="preserve">recommend to Council that the amended limits per Investment Counterparty presented in </w:t>
      </w:r>
      <w:r w:rsidR="00174562">
        <w:rPr>
          <w:szCs w:val="22"/>
        </w:rPr>
        <w:t>Appendix C</w:t>
      </w:r>
      <w:r w:rsidR="007E5760">
        <w:rPr>
          <w:szCs w:val="22"/>
        </w:rPr>
        <w:t xml:space="preserve"> </w:t>
      </w:r>
      <w:r w:rsidR="00712FB6">
        <w:rPr>
          <w:szCs w:val="22"/>
        </w:rPr>
        <w:t xml:space="preserve">should </w:t>
      </w:r>
      <w:r w:rsidR="007E5760">
        <w:rPr>
          <w:szCs w:val="22"/>
        </w:rPr>
        <w:t>be approved.</w:t>
      </w:r>
    </w:p>
    <w:p w14:paraId="1B48C230" w14:textId="77777777" w:rsidR="002F5C5E" w:rsidRPr="009C1143" w:rsidRDefault="002F5C5E" w:rsidP="002F5C5E">
      <w:pPr>
        <w:rPr>
          <w:i/>
          <w:color w:val="2E74B5"/>
          <w:szCs w:val="22"/>
        </w:rPr>
      </w:pPr>
    </w:p>
    <w:p w14:paraId="1B48C231" w14:textId="77777777" w:rsidR="002F5C5E" w:rsidRPr="009C1143" w:rsidRDefault="002F5C5E" w:rsidP="002F5C5E">
      <w:pPr>
        <w:rPr>
          <w:sz w:val="16"/>
          <w:szCs w:val="16"/>
        </w:rPr>
      </w:pPr>
    </w:p>
    <w:p w14:paraId="1B48C232" w14:textId="77777777" w:rsidR="002F5C5E" w:rsidRDefault="002F5C5E" w:rsidP="000B5251">
      <w:pPr>
        <w:keepNext/>
        <w:numPr>
          <w:ilvl w:val="0"/>
          <w:numId w:val="8"/>
        </w:numPr>
        <w:outlineLvl w:val="0"/>
        <w:rPr>
          <w:b/>
          <w:szCs w:val="22"/>
        </w:rPr>
      </w:pPr>
      <w:r w:rsidRPr="009C1143">
        <w:rPr>
          <w:b/>
          <w:szCs w:val="22"/>
        </w:rPr>
        <w:t xml:space="preserve">EXECUTIVE SUMMARY </w:t>
      </w:r>
    </w:p>
    <w:p w14:paraId="1B48C233" w14:textId="77777777" w:rsidR="000B5251" w:rsidRPr="009C1143" w:rsidRDefault="000B5251" w:rsidP="000B5251">
      <w:pPr>
        <w:keepNext/>
        <w:ind w:left="360"/>
        <w:outlineLvl w:val="0"/>
        <w:rPr>
          <w:b/>
          <w:szCs w:val="22"/>
        </w:rPr>
      </w:pPr>
    </w:p>
    <w:p w14:paraId="1B48C234" w14:textId="77777777" w:rsidR="002F5C5E" w:rsidRPr="00501257" w:rsidRDefault="00501257" w:rsidP="00A609DF">
      <w:pPr>
        <w:ind w:left="360"/>
        <w:rPr>
          <w:szCs w:val="22"/>
        </w:rPr>
      </w:pPr>
      <w:r w:rsidRPr="00501257">
        <w:rPr>
          <w:szCs w:val="22"/>
        </w:rPr>
        <w:t xml:space="preserve">The average rate achieved on treasury investments in the first quarter of 2018/19 is in line with performance by other councils. </w:t>
      </w:r>
      <w:r>
        <w:rPr>
          <w:szCs w:val="22"/>
        </w:rPr>
        <w:t>Treasury investment activity by this council is similar to that of other Lancashire district and unitary councils.</w:t>
      </w:r>
    </w:p>
    <w:p w14:paraId="1B48C235" w14:textId="77777777" w:rsidR="00A609DF" w:rsidRPr="00501257" w:rsidRDefault="00A609DF" w:rsidP="00A609DF">
      <w:pPr>
        <w:ind w:left="360"/>
        <w:rPr>
          <w:szCs w:val="22"/>
        </w:rPr>
      </w:pPr>
    </w:p>
    <w:p w14:paraId="1B48C236" w14:textId="77777777" w:rsidR="00A609DF" w:rsidRPr="00501257" w:rsidRDefault="00712FB6" w:rsidP="00A609DF">
      <w:pPr>
        <w:ind w:left="360"/>
        <w:rPr>
          <w:szCs w:val="22"/>
        </w:rPr>
      </w:pPr>
      <w:r>
        <w:rPr>
          <w:szCs w:val="22"/>
        </w:rPr>
        <w:t>All UK-incorporated banks and building societies with a Link Asset Services suggested investment duration of at least three months should be considered for use as investment counterparties. Banks and building societies without suggested investment durations should not be used.</w:t>
      </w:r>
    </w:p>
    <w:p w14:paraId="1B48C237" w14:textId="77777777" w:rsidR="00A609DF" w:rsidRPr="00501257" w:rsidRDefault="00A609DF" w:rsidP="00A609DF">
      <w:pPr>
        <w:ind w:left="360"/>
        <w:rPr>
          <w:szCs w:val="22"/>
        </w:rPr>
      </w:pPr>
    </w:p>
    <w:p w14:paraId="1B48C238" w14:textId="77777777" w:rsidR="00A609DF" w:rsidRPr="00501257" w:rsidRDefault="00712FB6" w:rsidP="00A609DF">
      <w:pPr>
        <w:ind w:left="360"/>
        <w:rPr>
          <w:szCs w:val="22"/>
        </w:rPr>
      </w:pPr>
      <w:r>
        <w:rPr>
          <w:szCs w:val="22"/>
        </w:rPr>
        <w:t>The limit per UK bank, building society, or local authority should be increased from £5m to £6m. This may give access to banks which require higher minimum investments, and larger sums can be invested as term deposits at higher rates of interest.</w:t>
      </w:r>
    </w:p>
    <w:p w14:paraId="1B48C239" w14:textId="77777777" w:rsidR="00A609DF" w:rsidRPr="00501257" w:rsidRDefault="00A609DF" w:rsidP="00A609DF">
      <w:pPr>
        <w:ind w:left="360"/>
        <w:rPr>
          <w:szCs w:val="22"/>
        </w:rPr>
      </w:pPr>
    </w:p>
    <w:p w14:paraId="1B48C23A" w14:textId="77777777" w:rsidR="00712FB6" w:rsidRDefault="00712FB6">
      <w:pPr>
        <w:rPr>
          <w:szCs w:val="22"/>
        </w:rPr>
      </w:pPr>
      <w:r>
        <w:rPr>
          <w:szCs w:val="22"/>
        </w:rPr>
        <w:br w:type="page"/>
      </w:r>
    </w:p>
    <w:p w14:paraId="1B48C23B" w14:textId="77777777" w:rsidR="002F5C5E" w:rsidRPr="009C1143" w:rsidRDefault="002F5C5E" w:rsidP="002F5C5E">
      <w:pPr>
        <w:rPr>
          <w:szCs w:val="22"/>
        </w:rPr>
      </w:pPr>
    </w:p>
    <w:p w14:paraId="1B48C23C" w14:textId="77777777" w:rsidR="002F5C5E" w:rsidRDefault="002F5C5E" w:rsidP="00525728">
      <w:pPr>
        <w:keepNext/>
        <w:numPr>
          <w:ilvl w:val="0"/>
          <w:numId w:val="8"/>
        </w:numPr>
        <w:outlineLvl w:val="0"/>
        <w:rPr>
          <w:b/>
          <w:szCs w:val="22"/>
        </w:rPr>
      </w:pPr>
      <w:r w:rsidRPr="009C1143">
        <w:rPr>
          <w:b/>
          <w:szCs w:val="22"/>
        </w:rPr>
        <w:t>CORPORATE PRIORITIES</w:t>
      </w:r>
    </w:p>
    <w:p w14:paraId="1B48C23D" w14:textId="77777777" w:rsidR="00772B9C" w:rsidRDefault="00772B9C" w:rsidP="00772B9C">
      <w:pPr>
        <w:keepNext/>
        <w:outlineLvl w:val="0"/>
        <w:rPr>
          <w:b/>
          <w:szCs w:val="22"/>
        </w:rPr>
      </w:pPr>
    </w:p>
    <w:p w14:paraId="1B48C23E" w14:textId="77777777" w:rsidR="00772B9C" w:rsidRPr="00772B9C" w:rsidRDefault="00772B9C" w:rsidP="00772B9C">
      <w:pPr>
        <w:keepNext/>
        <w:ind w:left="360"/>
        <w:outlineLvl w:val="0"/>
        <w:rPr>
          <w:i/>
          <w:color w:val="2E74B5"/>
          <w:szCs w:val="22"/>
        </w:rPr>
      </w:pPr>
      <w:r w:rsidRPr="009C1143">
        <w:rPr>
          <w:szCs w:val="22"/>
        </w:rPr>
        <w:t>The report relates to the following corporate priorities</w:t>
      </w:r>
      <w:r>
        <w:rPr>
          <w:szCs w:val="22"/>
        </w:rPr>
        <w:t>:</w:t>
      </w:r>
    </w:p>
    <w:p w14:paraId="1B48C23F" w14:textId="77777777" w:rsidR="00772B9C" w:rsidRDefault="00772B9C"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14:paraId="1B48C243" w14:textId="77777777" w:rsidTr="000E4458">
        <w:tc>
          <w:tcPr>
            <w:tcW w:w="4423" w:type="dxa"/>
            <w:shd w:val="clear" w:color="auto" w:fill="auto"/>
          </w:tcPr>
          <w:p w14:paraId="1B48C240" w14:textId="77777777" w:rsidR="00772B9C" w:rsidRPr="000828CC" w:rsidRDefault="00772B9C" w:rsidP="000E4458">
            <w:pPr>
              <w:rPr>
                <w:szCs w:val="22"/>
              </w:rPr>
            </w:pPr>
            <w:r w:rsidRPr="000828CC">
              <w:rPr>
                <w:szCs w:val="22"/>
              </w:rPr>
              <w:t>Excellence and Financial Sustainability</w:t>
            </w:r>
          </w:p>
          <w:p w14:paraId="1B48C241" w14:textId="77777777" w:rsidR="00772B9C" w:rsidRPr="000828CC" w:rsidRDefault="00772B9C" w:rsidP="000E4458">
            <w:pPr>
              <w:rPr>
                <w:szCs w:val="22"/>
              </w:rPr>
            </w:pPr>
          </w:p>
        </w:tc>
        <w:tc>
          <w:tcPr>
            <w:tcW w:w="850" w:type="dxa"/>
            <w:shd w:val="clear" w:color="auto" w:fill="auto"/>
          </w:tcPr>
          <w:p w14:paraId="1B48C242" w14:textId="77777777" w:rsidR="00772B9C" w:rsidRPr="008770BE" w:rsidRDefault="004B33F6" w:rsidP="004B33F6">
            <w:pPr>
              <w:jc w:val="center"/>
              <w:rPr>
                <w:szCs w:val="22"/>
                <w:highlight w:val="yellow"/>
              </w:rPr>
            </w:pPr>
            <w:r w:rsidRPr="00691A67">
              <w:rPr>
                <w:sz w:val="44"/>
                <w:szCs w:val="44"/>
              </w:rPr>
              <w:sym w:font="Wingdings" w:char="F0FC"/>
            </w:r>
          </w:p>
        </w:tc>
      </w:tr>
      <w:tr w:rsidR="00772B9C" w:rsidRPr="008770BE" w14:paraId="1B48C247" w14:textId="77777777" w:rsidTr="000E4458">
        <w:tc>
          <w:tcPr>
            <w:tcW w:w="4423" w:type="dxa"/>
            <w:shd w:val="clear" w:color="auto" w:fill="auto"/>
          </w:tcPr>
          <w:p w14:paraId="1B48C244" w14:textId="77777777" w:rsidR="00772B9C" w:rsidRPr="000828CC" w:rsidRDefault="00772B9C" w:rsidP="000E4458">
            <w:pPr>
              <w:rPr>
                <w:szCs w:val="22"/>
              </w:rPr>
            </w:pPr>
            <w:r w:rsidRPr="000828CC">
              <w:rPr>
                <w:szCs w:val="22"/>
              </w:rPr>
              <w:t>Health and Wellbeing</w:t>
            </w:r>
          </w:p>
          <w:p w14:paraId="1B48C245" w14:textId="77777777" w:rsidR="00772B9C" w:rsidRPr="000828CC" w:rsidRDefault="00772B9C" w:rsidP="000E4458">
            <w:pPr>
              <w:rPr>
                <w:szCs w:val="22"/>
              </w:rPr>
            </w:pPr>
          </w:p>
        </w:tc>
        <w:tc>
          <w:tcPr>
            <w:tcW w:w="850" w:type="dxa"/>
            <w:shd w:val="clear" w:color="auto" w:fill="auto"/>
          </w:tcPr>
          <w:p w14:paraId="1B48C246" w14:textId="77777777" w:rsidR="00772B9C" w:rsidRPr="008770BE" w:rsidRDefault="00772B9C" w:rsidP="000E4458">
            <w:pPr>
              <w:rPr>
                <w:szCs w:val="22"/>
                <w:highlight w:val="yellow"/>
              </w:rPr>
            </w:pPr>
          </w:p>
        </w:tc>
      </w:tr>
      <w:tr w:rsidR="00772B9C" w:rsidRPr="009C1143" w14:paraId="1B48C24B" w14:textId="77777777" w:rsidTr="000E4458">
        <w:tc>
          <w:tcPr>
            <w:tcW w:w="4423" w:type="dxa"/>
            <w:shd w:val="clear" w:color="auto" w:fill="auto"/>
          </w:tcPr>
          <w:p w14:paraId="1B48C248" w14:textId="77777777" w:rsidR="00772B9C" w:rsidRPr="000828CC" w:rsidRDefault="00772B9C" w:rsidP="000E4458">
            <w:pPr>
              <w:rPr>
                <w:szCs w:val="22"/>
              </w:rPr>
            </w:pPr>
            <w:r w:rsidRPr="000828CC">
              <w:rPr>
                <w:szCs w:val="22"/>
              </w:rPr>
              <w:t>Place</w:t>
            </w:r>
          </w:p>
          <w:p w14:paraId="1B48C249" w14:textId="77777777" w:rsidR="00772B9C" w:rsidRPr="000828CC" w:rsidRDefault="00772B9C" w:rsidP="000E4458">
            <w:pPr>
              <w:rPr>
                <w:szCs w:val="22"/>
              </w:rPr>
            </w:pPr>
          </w:p>
        </w:tc>
        <w:tc>
          <w:tcPr>
            <w:tcW w:w="850" w:type="dxa"/>
            <w:shd w:val="clear" w:color="auto" w:fill="auto"/>
          </w:tcPr>
          <w:p w14:paraId="1B48C24A" w14:textId="77777777" w:rsidR="00772B9C" w:rsidRPr="009C1143" w:rsidRDefault="00772B9C" w:rsidP="000E4458">
            <w:pPr>
              <w:rPr>
                <w:szCs w:val="22"/>
              </w:rPr>
            </w:pPr>
          </w:p>
        </w:tc>
      </w:tr>
    </w:tbl>
    <w:p w14:paraId="1B48C24C" w14:textId="77777777" w:rsidR="00772B9C" w:rsidRDefault="00772B9C" w:rsidP="00772B9C"/>
    <w:p w14:paraId="1B48C24D" w14:textId="77777777" w:rsidR="00772B9C" w:rsidRDefault="00772B9C" w:rsidP="00772B9C">
      <w:pPr>
        <w:ind w:firstLine="720"/>
      </w:pPr>
      <w:r>
        <w:t>Projects relating to People in the Corporate Plan:</w:t>
      </w:r>
    </w:p>
    <w:p w14:paraId="1B48C24E" w14:textId="77777777" w:rsidR="00772B9C" w:rsidRDefault="00772B9C"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14:paraId="1B48C252" w14:textId="77777777" w:rsidTr="000E4458">
        <w:tc>
          <w:tcPr>
            <w:tcW w:w="4423" w:type="dxa"/>
            <w:shd w:val="clear" w:color="auto" w:fill="auto"/>
          </w:tcPr>
          <w:p w14:paraId="1B48C24F" w14:textId="77777777" w:rsidR="00772B9C" w:rsidRDefault="00772B9C" w:rsidP="000E4458">
            <w:pPr>
              <w:rPr>
                <w:szCs w:val="22"/>
              </w:rPr>
            </w:pPr>
            <w:r>
              <w:rPr>
                <w:szCs w:val="22"/>
              </w:rPr>
              <w:t xml:space="preserve">People </w:t>
            </w:r>
          </w:p>
          <w:p w14:paraId="1B48C250" w14:textId="77777777" w:rsidR="00772B9C" w:rsidRPr="000828CC" w:rsidRDefault="00772B9C" w:rsidP="000E4458">
            <w:pPr>
              <w:rPr>
                <w:szCs w:val="22"/>
              </w:rPr>
            </w:pPr>
          </w:p>
        </w:tc>
        <w:tc>
          <w:tcPr>
            <w:tcW w:w="850" w:type="dxa"/>
            <w:shd w:val="clear" w:color="auto" w:fill="auto"/>
          </w:tcPr>
          <w:p w14:paraId="1B48C251" w14:textId="77777777" w:rsidR="00772B9C" w:rsidRPr="009C1143" w:rsidRDefault="00772B9C" w:rsidP="000E4458">
            <w:pPr>
              <w:rPr>
                <w:szCs w:val="22"/>
              </w:rPr>
            </w:pPr>
          </w:p>
        </w:tc>
      </w:tr>
    </w:tbl>
    <w:p w14:paraId="1B48C253" w14:textId="77777777" w:rsidR="002F5C5E" w:rsidRDefault="002F5C5E" w:rsidP="002F5C5E">
      <w:pPr>
        <w:rPr>
          <w:szCs w:val="22"/>
        </w:rPr>
      </w:pPr>
    </w:p>
    <w:p w14:paraId="1B48C254" w14:textId="77777777" w:rsidR="00772B9C" w:rsidRDefault="00772B9C" w:rsidP="002F5C5E">
      <w:pPr>
        <w:rPr>
          <w:szCs w:val="22"/>
        </w:rPr>
      </w:pPr>
    </w:p>
    <w:p w14:paraId="1B48C255" w14:textId="77777777" w:rsidR="00772B9C" w:rsidRPr="009C1143" w:rsidRDefault="00772B9C" w:rsidP="002F5C5E">
      <w:pPr>
        <w:rPr>
          <w:szCs w:val="22"/>
        </w:rPr>
      </w:pPr>
    </w:p>
    <w:p w14:paraId="1B48C256" w14:textId="77777777" w:rsidR="002F5C5E" w:rsidRPr="009C1143" w:rsidRDefault="002F5C5E" w:rsidP="002F5C5E">
      <w:pPr>
        <w:rPr>
          <w:b/>
          <w:szCs w:val="22"/>
        </w:rPr>
      </w:pPr>
      <w:r w:rsidRPr="009C1143">
        <w:rPr>
          <w:b/>
          <w:szCs w:val="22"/>
        </w:rPr>
        <w:t>5.   BACKGROUND TO THE REPORT</w:t>
      </w:r>
    </w:p>
    <w:p w14:paraId="1B48C257" w14:textId="77777777" w:rsidR="00A609DF" w:rsidRDefault="00A609DF" w:rsidP="002F5C5E">
      <w:pPr>
        <w:ind w:left="360"/>
        <w:rPr>
          <w:szCs w:val="22"/>
        </w:rPr>
      </w:pPr>
    </w:p>
    <w:p w14:paraId="1B48C258" w14:textId="77777777" w:rsidR="00417F27" w:rsidRDefault="007E5760" w:rsidP="00417F27">
      <w:pPr>
        <w:ind w:left="567"/>
        <w:rPr>
          <w:rFonts w:cs="Arial"/>
        </w:rPr>
      </w:pPr>
      <w:r>
        <w:rPr>
          <w:szCs w:val="22"/>
        </w:rPr>
        <w:t>The Annual Investment Strategy for 2018/19 was</w:t>
      </w:r>
      <w:r w:rsidR="00B56722">
        <w:rPr>
          <w:szCs w:val="22"/>
        </w:rPr>
        <w:t xml:space="preserve"> included in the Treasury Strategy 2018/19 to 2022/23, which was approved by Council on 28 February 2018. </w:t>
      </w:r>
      <w:r w:rsidR="00417F27" w:rsidRPr="004C6B74">
        <w:rPr>
          <w:rFonts w:cs="Arial"/>
        </w:rPr>
        <w:t xml:space="preserve">The </w:t>
      </w:r>
      <w:r w:rsidR="00417F27">
        <w:rPr>
          <w:rFonts w:cs="Arial"/>
        </w:rPr>
        <w:t xml:space="preserve">report emphasised that the </w:t>
      </w:r>
      <w:r w:rsidR="00417F27" w:rsidRPr="004C6B74">
        <w:rPr>
          <w:rFonts w:cs="Arial"/>
        </w:rPr>
        <w:t xml:space="preserve">Council’s investment priorities will be </w:t>
      </w:r>
      <w:r w:rsidR="00417F27">
        <w:rPr>
          <w:rFonts w:cs="Arial"/>
          <w:b/>
        </w:rPr>
        <w:t>S</w:t>
      </w:r>
      <w:r w:rsidR="00417F27" w:rsidRPr="004C6B74">
        <w:rPr>
          <w:rFonts w:cs="Arial"/>
        </w:rPr>
        <w:t xml:space="preserve">ecurity first, portfolio </w:t>
      </w:r>
      <w:r w:rsidR="00417F27">
        <w:rPr>
          <w:rFonts w:cs="Arial"/>
          <w:b/>
        </w:rPr>
        <w:t>L</w:t>
      </w:r>
      <w:r w:rsidR="00417F27" w:rsidRPr="004C6B74">
        <w:rPr>
          <w:rFonts w:cs="Arial"/>
        </w:rPr>
        <w:t xml:space="preserve">iquidity second, </w:t>
      </w:r>
      <w:r w:rsidR="00417F27">
        <w:rPr>
          <w:rFonts w:cs="Arial"/>
        </w:rPr>
        <w:t xml:space="preserve">and only </w:t>
      </w:r>
      <w:r w:rsidR="00417F27" w:rsidRPr="004C6B74">
        <w:rPr>
          <w:rFonts w:cs="Arial"/>
        </w:rPr>
        <w:t>then return</w:t>
      </w:r>
      <w:r w:rsidR="00417F27">
        <w:rPr>
          <w:rFonts w:cs="Arial"/>
        </w:rPr>
        <w:t xml:space="preserve"> (</w:t>
      </w:r>
      <w:r w:rsidR="00417F27">
        <w:rPr>
          <w:rFonts w:cs="Arial"/>
          <w:b/>
        </w:rPr>
        <w:t>Y</w:t>
      </w:r>
      <w:r w:rsidR="00417F27">
        <w:rPr>
          <w:rFonts w:cs="Arial"/>
        </w:rPr>
        <w:t>ield)</w:t>
      </w:r>
      <w:r w:rsidR="00417F27" w:rsidRPr="004C6B74">
        <w:rPr>
          <w:rFonts w:cs="Arial"/>
        </w:rPr>
        <w:t>.</w:t>
      </w:r>
    </w:p>
    <w:p w14:paraId="1B48C259" w14:textId="77777777" w:rsidR="00417F27" w:rsidRDefault="00417F27" w:rsidP="00417F27">
      <w:pPr>
        <w:ind w:left="567"/>
        <w:rPr>
          <w:rFonts w:cs="Arial"/>
        </w:rPr>
      </w:pPr>
    </w:p>
    <w:p w14:paraId="1B48C25A" w14:textId="77777777" w:rsidR="00417F27" w:rsidRDefault="00417F27" w:rsidP="00417F27">
      <w:pPr>
        <w:ind w:left="567"/>
        <w:rPr>
          <w:rFonts w:cs="Arial"/>
        </w:rPr>
      </w:pPr>
      <w:r>
        <w:rPr>
          <w:rFonts w:cs="Arial"/>
        </w:rPr>
        <w:t>The Treasury Management Annual Report 2017/18 was presented to Governance Committee on 26 July 2018. The report indicated that an average return on investments of 0.49% had been achieved, which exceeded the target rate of 0.24%, being seven day LIBID plus 15%. In the first quarter of 2018/19, the average return had increased to 0.63%.</w:t>
      </w:r>
    </w:p>
    <w:p w14:paraId="1B48C25B" w14:textId="77777777" w:rsidR="00417F27" w:rsidRDefault="00417F27" w:rsidP="00417F27">
      <w:pPr>
        <w:ind w:left="567"/>
        <w:rPr>
          <w:rFonts w:cs="Arial"/>
        </w:rPr>
      </w:pPr>
    </w:p>
    <w:p w14:paraId="1B48C25C" w14:textId="77777777" w:rsidR="00417F27" w:rsidRPr="004C6B74" w:rsidRDefault="00417F27" w:rsidP="00417F27">
      <w:pPr>
        <w:ind w:left="567"/>
        <w:rPr>
          <w:rFonts w:cs="Arial"/>
        </w:rPr>
      </w:pPr>
      <w:r>
        <w:rPr>
          <w:rFonts w:cs="Arial"/>
        </w:rPr>
        <w:t>A review of investment counterparties was requested, and information about how this council’s treasury investment performance compares to that of other authorities. This report provides benchmarking information and proposes changes to investment counterparties and limits.</w:t>
      </w:r>
    </w:p>
    <w:p w14:paraId="1B48C25D" w14:textId="77777777" w:rsidR="007E5760" w:rsidRPr="00E963AC" w:rsidRDefault="007E5760" w:rsidP="002F5C5E">
      <w:pPr>
        <w:ind w:left="360"/>
        <w:rPr>
          <w:szCs w:val="22"/>
        </w:rPr>
      </w:pPr>
    </w:p>
    <w:p w14:paraId="1B48C25E" w14:textId="77777777" w:rsidR="00525728" w:rsidRPr="009C1143" w:rsidRDefault="00525728" w:rsidP="000B5251">
      <w:pPr>
        <w:rPr>
          <w:i/>
          <w:color w:val="2E74B5"/>
          <w:szCs w:val="22"/>
        </w:rPr>
      </w:pPr>
    </w:p>
    <w:p w14:paraId="1B48C25F" w14:textId="77777777" w:rsidR="002F5C5E" w:rsidRDefault="001938D6" w:rsidP="002F5C5E">
      <w:pPr>
        <w:rPr>
          <w:b/>
          <w:szCs w:val="22"/>
        </w:rPr>
      </w:pPr>
      <w:r>
        <w:rPr>
          <w:b/>
          <w:szCs w:val="22"/>
        </w:rPr>
        <w:t xml:space="preserve">6.   </w:t>
      </w:r>
      <w:r w:rsidR="00417F27">
        <w:rPr>
          <w:b/>
          <w:szCs w:val="22"/>
        </w:rPr>
        <w:t>TREASURY INVESTMENT PERFORMANCE COMPARED TO OTHER AUTHORITIES</w:t>
      </w:r>
    </w:p>
    <w:p w14:paraId="1B48C260" w14:textId="77777777" w:rsidR="00FE2BB2" w:rsidRDefault="00FE2BB2" w:rsidP="00FE2BB2">
      <w:pPr>
        <w:ind w:left="426" w:hanging="426"/>
        <w:rPr>
          <w:szCs w:val="22"/>
        </w:rPr>
      </w:pPr>
    </w:p>
    <w:p w14:paraId="1B48C261" w14:textId="77777777" w:rsidR="00FE2BB2" w:rsidRDefault="00FE2BB2" w:rsidP="00FE2BB2">
      <w:pPr>
        <w:ind w:left="426" w:hanging="426"/>
        <w:rPr>
          <w:szCs w:val="22"/>
        </w:rPr>
      </w:pPr>
      <w:r>
        <w:rPr>
          <w:szCs w:val="22"/>
        </w:rPr>
        <w:tab/>
      </w:r>
      <w:r w:rsidR="00417F27">
        <w:rPr>
          <w:szCs w:val="22"/>
        </w:rPr>
        <w:t xml:space="preserve">At present, the rate of return on treasury investments achieved by local authorities is lower than the rate of inflation, whether measured by CPI or RPI. </w:t>
      </w:r>
      <w:r w:rsidR="0092404C">
        <w:rPr>
          <w:szCs w:val="22"/>
        </w:rPr>
        <w:t>Inflation is at a higher rate than the return on investments, so the downside of holding cash to invest is that it loses its value. Local authorities aim to minimise this loss in value by achieving as high a rate of return as can be earned from highly secure and liquid treasury investments. As an alternative, local authorities may use their cash to invest in council-owned income generating assets. However, purchase or construction of such assets is beyond the scope of this report, being capital expenditure rather than treasury investment.</w:t>
      </w:r>
    </w:p>
    <w:p w14:paraId="1B48C262" w14:textId="77777777" w:rsidR="00FE2BB2" w:rsidRDefault="00FE2BB2" w:rsidP="00FE2BB2">
      <w:pPr>
        <w:ind w:left="426" w:hanging="426"/>
        <w:rPr>
          <w:szCs w:val="22"/>
        </w:rPr>
      </w:pPr>
      <w:r>
        <w:rPr>
          <w:szCs w:val="22"/>
        </w:rPr>
        <w:tab/>
      </w:r>
    </w:p>
    <w:p w14:paraId="1B48C263" w14:textId="77777777" w:rsidR="00FE2BB2" w:rsidRDefault="00FE2BB2" w:rsidP="00FE2BB2">
      <w:pPr>
        <w:ind w:left="426" w:hanging="426"/>
        <w:rPr>
          <w:szCs w:val="22"/>
        </w:rPr>
      </w:pPr>
      <w:r>
        <w:rPr>
          <w:szCs w:val="22"/>
        </w:rPr>
        <w:tab/>
      </w:r>
      <w:r w:rsidR="0092404C">
        <w:rPr>
          <w:szCs w:val="22"/>
        </w:rPr>
        <w:t>Link Asset Services, the council’s treasury advisors, have compared investment activity performance for the first quarter of 2018/19 with the performance achieved by their other local authority clients</w:t>
      </w:r>
      <w:r>
        <w:rPr>
          <w:szCs w:val="22"/>
        </w:rPr>
        <w:t>.</w:t>
      </w:r>
      <w:r w:rsidR="0092404C">
        <w:rPr>
          <w:szCs w:val="22"/>
        </w:rPr>
        <w:t xml:space="preserve"> Performance is summarised in the following table.</w:t>
      </w:r>
    </w:p>
    <w:p w14:paraId="1B48C264" w14:textId="77777777" w:rsidR="00FE2BB2" w:rsidRDefault="00FE2BB2" w:rsidP="00FE2BB2">
      <w:pPr>
        <w:ind w:left="426" w:hanging="426"/>
        <w:rPr>
          <w:szCs w:val="22"/>
        </w:rPr>
      </w:pPr>
    </w:p>
    <w:p w14:paraId="1B48C265" w14:textId="77777777" w:rsidR="0092404C" w:rsidRDefault="0092404C" w:rsidP="00BE762D">
      <w:pPr>
        <w:ind w:left="426" w:hanging="426"/>
        <w:jc w:val="center"/>
        <w:rPr>
          <w:szCs w:val="22"/>
        </w:rPr>
      </w:pPr>
      <w:r>
        <w:rPr>
          <w:noProof/>
          <w:szCs w:val="22"/>
        </w:rPr>
        <w:lastRenderedPageBreak/>
        <w:drawing>
          <wp:inline distT="0" distB="0" distL="0" distR="0" wp14:anchorId="1B48C2E6" wp14:editId="1B48C2E7">
            <wp:extent cx="6120130" cy="8058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BC performance table 2018-19.jpg"/>
                    <pic:cNvPicPr/>
                  </pic:nvPicPr>
                  <pic:blipFill>
                    <a:blip r:embed="rId9">
                      <a:extLst>
                        <a:ext uri="{28A0092B-C50C-407E-A947-70E740481C1C}">
                          <a14:useLocalDpi xmlns:a14="http://schemas.microsoft.com/office/drawing/2010/main" val="0"/>
                        </a:ext>
                      </a:extLst>
                    </a:blip>
                    <a:stretch>
                      <a:fillRect/>
                    </a:stretch>
                  </pic:blipFill>
                  <pic:spPr>
                    <a:xfrm>
                      <a:off x="0" y="0"/>
                      <a:ext cx="6120130" cy="805815"/>
                    </a:xfrm>
                    <a:prstGeom prst="rect">
                      <a:avLst/>
                    </a:prstGeom>
                  </pic:spPr>
                </pic:pic>
              </a:graphicData>
            </a:graphic>
          </wp:inline>
        </w:drawing>
      </w:r>
    </w:p>
    <w:p w14:paraId="1B48C266" w14:textId="77777777" w:rsidR="0092404C" w:rsidRDefault="0092404C" w:rsidP="00FE2BB2">
      <w:pPr>
        <w:ind w:left="426" w:hanging="426"/>
        <w:rPr>
          <w:szCs w:val="22"/>
        </w:rPr>
      </w:pPr>
    </w:p>
    <w:p w14:paraId="1B48C267" w14:textId="77777777" w:rsidR="00BD48EB" w:rsidRDefault="0008263B" w:rsidP="0008263B">
      <w:pPr>
        <w:ind w:left="426" w:hanging="426"/>
        <w:jc w:val="center"/>
        <w:rPr>
          <w:szCs w:val="22"/>
        </w:rPr>
      </w:pPr>
      <w:r>
        <w:rPr>
          <w:noProof/>
          <w:szCs w:val="22"/>
        </w:rPr>
        <w:drawing>
          <wp:inline distT="0" distB="0" distL="0" distR="0" wp14:anchorId="1B48C2E8" wp14:editId="1B48C2E9">
            <wp:extent cx="6120130" cy="1414145"/>
            <wp:effectExtent l="19050" t="19050" r="1397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asury acronyms.jpg"/>
                    <pic:cNvPicPr/>
                  </pic:nvPicPr>
                  <pic:blipFill>
                    <a:blip r:embed="rId10">
                      <a:extLst>
                        <a:ext uri="{28A0092B-C50C-407E-A947-70E740481C1C}">
                          <a14:useLocalDpi xmlns:a14="http://schemas.microsoft.com/office/drawing/2010/main" val="0"/>
                        </a:ext>
                      </a:extLst>
                    </a:blip>
                    <a:stretch>
                      <a:fillRect/>
                    </a:stretch>
                  </pic:blipFill>
                  <pic:spPr>
                    <a:xfrm>
                      <a:off x="0" y="0"/>
                      <a:ext cx="6120130" cy="1414145"/>
                    </a:xfrm>
                    <a:prstGeom prst="rect">
                      <a:avLst/>
                    </a:prstGeom>
                    <a:ln>
                      <a:solidFill>
                        <a:schemeClr val="accent1"/>
                      </a:solidFill>
                    </a:ln>
                  </pic:spPr>
                </pic:pic>
              </a:graphicData>
            </a:graphic>
          </wp:inline>
        </w:drawing>
      </w:r>
    </w:p>
    <w:p w14:paraId="1B48C268" w14:textId="77777777" w:rsidR="00BD48EB" w:rsidRDefault="00BD48EB" w:rsidP="00FE2BB2">
      <w:pPr>
        <w:ind w:left="426" w:hanging="426"/>
        <w:rPr>
          <w:szCs w:val="22"/>
        </w:rPr>
      </w:pPr>
    </w:p>
    <w:p w14:paraId="1B48C269" w14:textId="77777777" w:rsidR="00FE2BB2" w:rsidRDefault="0092404C" w:rsidP="00BD48EB">
      <w:pPr>
        <w:ind w:left="426"/>
        <w:rPr>
          <w:szCs w:val="22"/>
        </w:rPr>
      </w:pPr>
      <w:r>
        <w:rPr>
          <w:szCs w:val="22"/>
        </w:rPr>
        <w:t xml:space="preserve">This council’s investment performance is similar to that of other local authorities, though a little lower. </w:t>
      </w:r>
      <w:r w:rsidR="0008263B">
        <w:rPr>
          <w:szCs w:val="22"/>
        </w:rPr>
        <w:t>Though credit risk is a little higher than that of other councils, the scale is from 1 to 7 so this council’s score is in the lower half of the range. Risk could be reduced by investing regularly in the Debt Management Office’s Debt Management Account Deposit Facility</w:t>
      </w:r>
      <w:r w:rsidR="00D430F6">
        <w:rPr>
          <w:szCs w:val="22"/>
        </w:rPr>
        <w:t xml:space="preserve"> (DMADF)</w:t>
      </w:r>
      <w:r w:rsidR="0008263B">
        <w:rPr>
          <w:szCs w:val="22"/>
        </w:rPr>
        <w:t>, but the effect would be to reduce rate of return on investments.</w:t>
      </w:r>
    </w:p>
    <w:p w14:paraId="1B48C26A" w14:textId="77777777" w:rsidR="00FC096A" w:rsidRDefault="00FC096A" w:rsidP="00FC096A">
      <w:pPr>
        <w:ind w:left="426" w:hanging="426"/>
        <w:rPr>
          <w:szCs w:val="22"/>
        </w:rPr>
      </w:pPr>
    </w:p>
    <w:p w14:paraId="1B48C26B" w14:textId="77777777" w:rsidR="00B72BFF" w:rsidRDefault="00FC096A" w:rsidP="00FC096A">
      <w:pPr>
        <w:ind w:left="426"/>
        <w:rPr>
          <w:szCs w:val="22"/>
        </w:rPr>
      </w:pPr>
      <w:r>
        <w:rPr>
          <w:szCs w:val="22"/>
        </w:rPr>
        <w:t xml:space="preserve">The </w:t>
      </w:r>
      <w:r w:rsidR="00B72BFF">
        <w:rPr>
          <w:szCs w:val="22"/>
        </w:rPr>
        <w:t>comparison of performance against other local authorities and the Link Model is presented as Appendix A. Though some councils are achieving a higher rate of return, in line with their risk appetites, this council’s performance is in line with expectations.</w:t>
      </w:r>
    </w:p>
    <w:p w14:paraId="1B48C26C" w14:textId="77777777" w:rsidR="00FC096A" w:rsidRDefault="00FC096A" w:rsidP="00FC096A">
      <w:pPr>
        <w:ind w:left="426"/>
        <w:rPr>
          <w:szCs w:val="22"/>
        </w:rPr>
      </w:pPr>
      <w:r>
        <w:rPr>
          <w:szCs w:val="22"/>
        </w:rPr>
        <w:t>.</w:t>
      </w:r>
    </w:p>
    <w:p w14:paraId="1B48C26D" w14:textId="77777777" w:rsidR="00FC096A" w:rsidRDefault="00F80BC0" w:rsidP="00FC096A">
      <w:pPr>
        <w:ind w:left="426"/>
        <w:rPr>
          <w:szCs w:val="22"/>
        </w:rPr>
      </w:pPr>
      <w:r>
        <w:rPr>
          <w:szCs w:val="22"/>
        </w:rPr>
        <w:t xml:space="preserve">Appendix B, which is derived from local authorities’ quarterly borrowing and investment returns, compares this council’s investments as at 31 March 2018 and 30 June 2018 with those of English local authorities as a whole, other Lancashire district councils, and the Lancashire unitary councils. </w:t>
      </w:r>
    </w:p>
    <w:p w14:paraId="1B48C26E" w14:textId="77777777" w:rsidR="00FC096A" w:rsidRDefault="00FC096A" w:rsidP="00FC096A">
      <w:pPr>
        <w:ind w:left="426"/>
        <w:rPr>
          <w:szCs w:val="22"/>
        </w:rPr>
      </w:pPr>
    </w:p>
    <w:p w14:paraId="1B48C26F" w14:textId="77777777" w:rsidR="006A2E65" w:rsidRDefault="006A2E65" w:rsidP="00FC096A">
      <w:pPr>
        <w:ind w:left="426"/>
        <w:rPr>
          <w:szCs w:val="22"/>
        </w:rPr>
      </w:pPr>
      <w:r>
        <w:rPr>
          <w:szCs w:val="22"/>
        </w:rPr>
        <w:t>The tables show that the most popular treasury investment types for English councils are banks, local authorities, and money market funds (MMFs).</w:t>
      </w:r>
    </w:p>
    <w:p w14:paraId="1B48C270" w14:textId="77777777" w:rsidR="006A2E65" w:rsidRDefault="006A2E65" w:rsidP="00FC096A">
      <w:pPr>
        <w:ind w:left="426"/>
        <w:rPr>
          <w:szCs w:val="22"/>
        </w:rPr>
      </w:pPr>
    </w:p>
    <w:p w14:paraId="1B48C271" w14:textId="77777777" w:rsidR="00FC096A" w:rsidRDefault="00C853D3" w:rsidP="00FC096A">
      <w:pPr>
        <w:ind w:left="426"/>
        <w:rPr>
          <w:szCs w:val="22"/>
        </w:rPr>
      </w:pPr>
      <w:r>
        <w:rPr>
          <w:szCs w:val="22"/>
        </w:rPr>
        <w:t xml:space="preserve">At both dates analysed in Appendix B, this council had placed more cash with banks than the national average and other Lancashire councils. At 31 March 2018, investments with other local authorities were </w:t>
      </w:r>
      <w:r w:rsidR="006A2E65">
        <w:rPr>
          <w:szCs w:val="22"/>
        </w:rPr>
        <w:t>higher than the national percentage, but slightly lower than for other Lancashire councils. By 30 June 2018 several local authority term deposits had matured and the cash was not reinvested with local authorities, so the percentage in this category was lower than for English authorities in general. The percentage placed with MMFs at 31 March 2018 was lower than for all English authorities and other Lancashire councils, but by 30 June was slightly higher than the percentage for English authorities, and similar to that for other Lancashire councils.</w:t>
      </w:r>
    </w:p>
    <w:p w14:paraId="1B48C272" w14:textId="77777777" w:rsidR="00FC096A" w:rsidRDefault="00FC096A" w:rsidP="00FC096A">
      <w:pPr>
        <w:ind w:left="426"/>
        <w:rPr>
          <w:szCs w:val="22"/>
        </w:rPr>
      </w:pPr>
    </w:p>
    <w:p w14:paraId="1B48C273" w14:textId="77777777" w:rsidR="00AE43EC" w:rsidRDefault="006A2E65" w:rsidP="00FC096A">
      <w:pPr>
        <w:ind w:left="426"/>
        <w:rPr>
          <w:szCs w:val="22"/>
        </w:rPr>
      </w:pPr>
      <w:r>
        <w:rPr>
          <w:szCs w:val="22"/>
        </w:rPr>
        <w:t xml:space="preserve">This council’s treasury investment activity is typical of Lancashire councils in general. </w:t>
      </w:r>
      <w:r w:rsidR="00C00AB4">
        <w:rPr>
          <w:szCs w:val="22"/>
        </w:rPr>
        <w:t xml:space="preserve">Few of the Lancashire councils use </w:t>
      </w:r>
      <w:r w:rsidR="00174562">
        <w:rPr>
          <w:szCs w:val="22"/>
        </w:rPr>
        <w:t xml:space="preserve">treasury </w:t>
      </w:r>
      <w:r w:rsidR="00C00AB4">
        <w:rPr>
          <w:szCs w:val="22"/>
        </w:rPr>
        <w:t>investment options other than banks, local authorities, and MMFs.</w:t>
      </w:r>
      <w:r w:rsidR="00CA7E75">
        <w:rPr>
          <w:szCs w:val="22"/>
        </w:rPr>
        <w:t xml:space="preserve"> </w:t>
      </w:r>
    </w:p>
    <w:p w14:paraId="1B48C274" w14:textId="77777777" w:rsidR="00CA7E75" w:rsidRDefault="00CA7E75" w:rsidP="00FC096A">
      <w:pPr>
        <w:ind w:left="426"/>
        <w:rPr>
          <w:szCs w:val="22"/>
        </w:rPr>
      </w:pPr>
    </w:p>
    <w:p w14:paraId="1B48C275" w14:textId="77777777" w:rsidR="00FC096A" w:rsidRDefault="00C00AB4" w:rsidP="00FC096A">
      <w:pPr>
        <w:ind w:left="426"/>
        <w:rPr>
          <w:szCs w:val="22"/>
        </w:rPr>
      </w:pPr>
      <w:r>
        <w:rPr>
          <w:szCs w:val="22"/>
        </w:rPr>
        <w:t>In summary, the average rate achieved for treasury investments in the first quarter</w:t>
      </w:r>
      <w:r w:rsidR="00AE43EC">
        <w:rPr>
          <w:szCs w:val="22"/>
        </w:rPr>
        <w:t>.</w:t>
      </w:r>
      <w:r>
        <w:rPr>
          <w:szCs w:val="22"/>
        </w:rPr>
        <w:t>is broadly in line with expectations according to Link’s benchmarking, and the type of treasury investment activity is typical of Lancashire councils in general.</w:t>
      </w:r>
    </w:p>
    <w:p w14:paraId="1B48C276" w14:textId="77777777" w:rsidR="00FC096A" w:rsidRDefault="00FC096A" w:rsidP="00FC096A">
      <w:pPr>
        <w:ind w:left="426"/>
        <w:rPr>
          <w:szCs w:val="22"/>
        </w:rPr>
      </w:pPr>
    </w:p>
    <w:p w14:paraId="1B48C277" w14:textId="77777777" w:rsidR="0008263B" w:rsidRDefault="0008263B">
      <w:pPr>
        <w:rPr>
          <w:szCs w:val="22"/>
        </w:rPr>
      </w:pPr>
      <w:r>
        <w:rPr>
          <w:szCs w:val="22"/>
        </w:rPr>
        <w:br w:type="page"/>
      </w:r>
    </w:p>
    <w:p w14:paraId="1B48C278" w14:textId="77777777" w:rsidR="0075776F" w:rsidRPr="00792A2B" w:rsidRDefault="0075776F" w:rsidP="0075776F">
      <w:pPr>
        <w:rPr>
          <w:b/>
          <w:szCs w:val="22"/>
        </w:rPr>
      </w:pPr>
      <w:r w:rsidRPr="00792A2B">
        <w:rPr>
          <w:b/>
          <w:szCs w:val="22"/>
        </w:rPr>
        <w:lastRenderedPageBreak/>
        <w:t xml:space="preserve">7.   </w:t>
      </w:r>
      <w:r w:rsidR="00C00AB4">
        <w:rPr>
          <w:b/>
          <w:szCs w:val="22"/>
        </w:rPr>
        <w:t>OPTIONS FOR AMENDING THE 2018/19 INVESTMENT STRATEGY</w:t>
      </w:r>
    </w:p>
    <w:p w14:paraId="1B48C279" w14:textId="77777777" w:rsidR="0075776F" w:rsidRDefault="00A5634A" w:rsidP="0075776F">
      <w:pPr>
        <w:rPr>
          <w:szCs w:val="22"/>
        </w:rPr>
      </w:pPr>
      <w:r>
        <w:rPr>
          <w:szCs w:val="22"/>
        </w:rPr>
        <w:tab/>
      </w:r>
    </w:p>
    <w:p w14:paraId="1B48C27A" w14:textId="77777777" w:rsidR="00A5634A" w:rsidRDefault="00C00AB4" w:rsidP="00A5634A">
      <w:pPr>
        <w:ind w:left="426"/>
        <w:rPr>
          <w:szCs w:val="22"/>
        </w:rPr>
      </w:pPr>
      <w:r>
        <w:rPr>
          <w:szCs w:val="22"/>
        </w:rPr>
        <w:t xml:space="preserve">The approved Investment Strategy for 2018/19 </w:t>
      </w:r>
      <w:r w:rsidR="002B3F28">
        <w:rPr>
          <w:szCs w:val="22"/>
        </w:rPr>
        <w:t>permits cash to be placed with UK-incorporated banks and building societies which have a Link Asset Services’ maximum duration of three to twelve months.</w:t>
      </w:r>
    </w:p>
    <w:p w14:paraId="1B48C27B" w14:textId="77777777" w:rsidR="00A5634A" w:rsidRDefault="00A5634A" w:rsidP="00A5634A">
      <w:pPr>
        <w:ind w:left="426"/>
        <w:rPr>
          <w:szCs w:val="22"/>
        </w:rPr>
      </w:pPr>
    </w:p>
    <w:p w14:paraId="1B48C27C" w14:textId="77777777" w:rsidR="0011642A" w:rsidRDefault="002B3F28" w:rsidP="00174562">
      <w:pPr>
        <w:ind w:left="426"/>
        <w:rPr>
          <w:szCs w:val="22"/>
        </w:rPr>
      </w:pPr>
      <w:r>
        <w:rPr>
          <w:szCs w:val="22"/>
        </w:rPr>
        <w:t>There are a limited number of suitable UK</w:t>
      </w:r>
      <w:r w:rsidR="00174562">
        <w:rPr>
          <w:szCs w:val="22"/>
        </w:rPr>
        <w:t>-incorporated</w:t>
      </w:r>
      <w:r>
        <w:rPr>
          <w:szCs w:val="22"/>
        </w:rPr>
        <w:t xml:space="preserve"> banks and building societies which can be used by the council</w:t>
      </w:r>
      <w:r w:rsidR="00174562">
        <w:rPr>
          <w:szCs w:val="22"/>
        </w:rPr>
        <w:t>, based on credit ratings</w:t>
      </w:r>
      <w:r w:rsidR="0004205E">
        <w:rPr>
          <w:szCs w:val="22"/>
        </w:rPr>
        <w:t xml:space="preserve"> from the three main agencies (Fitch, Moody’s, and Standard &amp; Poor’s) and Link suggested investment durations</w:t>
      </w:r>
      <w:r>
        <w:rPr>
          <w:szCs w:val="22"/>
        </w:rPr>
        <w:t xml:space="preserve">. </w:t>
      </w:r>
      <w:r w:rsidR="00174562">
        <w:rPr>
          <w:szCs w:val="22"/>
        </w:rPr>
        <w:t>These are as follows:</w:t>
      </w:r>
    </w:p>
    <w:p w14:paraId="1B48C27D" w14:textId="77777777" w:rsidR="00174562" w:rsidRDefault="00174562" w:rsidP="00174562">
      <w:pPr>
        <w:ind w:left="426"/>
        <w:rPr>
          <w:szCs w:val="22"/>
        </w:rPr>
      </w:pPr>
    </w:p>
    <w:p w14:paraId="1B48C27E" w14:textId="77777777" w:rsidR="00174562" w:rsidRDefault="00174562" w:rsidP="00174562">
      <w:pPr>
        <w:pStyle w:val="ListParagraph"/>
        <w:numPr>
          <w:ilvl w:val="0"/>
          <w:numId w:val="17"/>
        </w:numPr>
        <w:rPr>
          <w:rFonts w:ascii="Arial" w:eastAsia="Times New Roman" w:hAnsi="Arial"/>
          <w:lang w:eastAsia="en-GB"/>
        </w:rPr>
      </w:pPr>
      <w:r>
        <w:rPr>
          <w:rFonts w:ascii="Arial" w:eastAsia="Times New Roman" w:hAnsi="Arial"/>
          <w:lang w:eastAsia="en-GB"/>
        </w:rPr>
        <w:t>Barclays Bank</w:t>
      </w:r>
    </w:p>
    <w:p w14:paraId="1B48C27F" w14:textId="77777777" w:rsidR="00174562" w:rsidRDefault="00174562" w:rsidP="00174562">
      <w:pPr>
        <w:pStyle w:val="ListParagraph"/>
        <w:numPr>
          <w:ilvl w:val="0"/>
          <w:numId w:val="17"/>
        </w:numPr>
        <w:rPr>
          <w:rFonts w:ascii="Arial" w:eastAsia="Times New Roman" w:hAnsi="Arial"/>
          <w:lang w:eastAsia="en-GB"/>
        </w:rPr>
      </w:pPr>
      <w:r>
        <w:rPr>
          <w:rFonts w:ascii="Arial" w:eastAsia="Times New Roman" w:hAnsi="Arial"/>
          <w:lang w:eastAsia="en-GB"/>
        </w:rPr>
        <w:t>Close B</w:t>
      </w:r>
      <w:r w:rsidR="00EF2358">
        <w:rPr>
          <w:rFonts w:ascii="Arial" w:eastAsia="Times New Roman" w:hAnsi="Arial"/>
          <w:lang w:eastAsia="en-GB"/>
        </w:rPr>
        <w:t>r</w:t>
      </w:r>
      <w:r>
        <w:rPr>
          <w:rFonts w:ascii="Arial" w:eastAsia="Times New Roman" w:hAnsi="Arial"/>
          <w:lang w:eastAsia="en-GB"/>
        </w:rPr>
        <w:t>others</w:t>
      </w:r>
    </w:p>
    <w:p w14:paraId="1B48C280" w14:textId="77777777" w:rsidR="00174562" w:rsidRDefault="00174562" w:rsidP="00174562">
      <w:pPr>
        <w:pStyle w:val="ListParagraph"/>
        <w:numPr>
          <w:ilvl w:val="0"/>
          <w:numId w:val="17"/>
        </w:numPr>
        <w:rPr>
          <w:rFonts w:ascii="Arial" w:eastAsia="Times New Roman" w:hAnsi="Arial"/>
          <w:lang w:eastAsia="en-GB"/>
        </w:rPr>
      </w:pPr>
      <w:r>
        <w:rPr>
          <w:rFonts w:ascii="Arial" w:eastAsia="Times New Roman" w:hAnsi="Arial"/>
          <w:lang w:eastAsia="en-GB"/>
        </w:rPr>
        <w:t>Coventry Building Society</w:t>
      </w:r>
    </w:p>
    <w:p w14:paraId="1B48C281" w14:textId="77777777" w:rsidR="00174562" w:rsidRDefault="00174562" w:rsidP="00174562">
      <w:pPr>
        <w:pStyle w:val="ListParagraph"/>
        <w:numPr>
          <w:ilvl w:val="0"/>
          <w:numId w:val="17"/>
        </w:numPr>
        <w:rPr>
          <w:rFonts w:ascii="Arial" w:eastAsia="Times New Roman" w:hAnsi="Arial"/>
          <w:lang w:eastAsia="en-GB"/>
        </w:rPr>
      </w:pPr>
      <w:r>
        <w:rPr>
          <w:rFonts w:ascii="Arial" w:eastAsia="Times New Roman" w:hAnsi="Arial"/>
          <w:lang w:eastAsia="en-GB"/>
        </w:rPr>
        <w:t>Goldman Sachs International Bank</w:t>
      </w:r>
    </w:p>
    <w:p w14:paraId="1B48C282" w14:textId="77777777" w:rsidR="00174562" w:rsidRDefault="00174562" w:rsidP="00174562">
      <w:pPr>
        <w:pStyle w:val="ListParagraph"/>
        <w:numPr>
          <w:ilvl w:val="0"/>
          <w:numId w:val="17"/>
        </w:numPr>
        <w:rPr>
          <w:rFonts w:ascii="Arial" w:eastAsia="Times New Roman" w:hAnsi="Arial"/>
          <w:lang w:eastAsia="en-GB"/>
        </w:rPr>
      </w:pPr>
      <w:r>
        <w:rPr>
          <w:rFonts w:ascii="Arial" w:eastAsia="Times New Roman" w:hAnsi="Arial"/>
          <w:lang w:eastAsia="en-GB"/>
        </w:rPr>
        <w:t>HSBC group</w:t>
      </w:r>
    </w:p>
    <w:p w14:paraId="1B48C283" w14:textId="77777777" w:rsidR="00174562" w:rsidRDefault="00174562" w:rsidP="00174562">
      <w:pPr>
        <w:pStyle w:val="ListParagraph"/>
        <w:numPr>
          <w:ilvl w:val="0"/>
          <w:numId w:val="17"/>
        </w:numPr>
        <w:rPr>
          <w:rFonts w:ascii="Arial" w:eastAsia="Times New Roman" w:hAnsi="Arial"/>
          <w:lang w:eastAsia="en-GB"/>
        </w:rPr>
      </w:pPr>
      <w:r>
        <w:rPr>
          <w:rFonts w:ascii="Arial" w:eastAsia="Times New Roman" w:hAnsi="Arial"/>
          <w:lang w:eastAsia="en-GB"/>
        </w:rPr>
        <w:t>Leeds Building Society</w:t>
      </w:r>
    </w:p>
    <w:p w14:paraId="1B48C284" w14:textId="77777777" w:rsidR="00174562" w:rsidRDefault="00174562" w:rsidP="00174562">
      <w:pPr>
        <w:pStyle w:val="ListParagraph"/>
        <w:numPr>
          <w:ilvl w:val="0"/>
          <w:numId w:val="17"/>
        </w:numPr>
        <w:rPr>
          <w:rFonts w:ascii="Arial" w:eastAsia="Times New Roman" w:hAnsi="Arial"/>
          <w:lang w:eastAsia="en-GB"/>
        </w:rPr>
      </w:pPr>
      <w:r>
        <w:rPr>
          <w:rFonts w:ascii="Arial" w:eastAsia="Times New Roman" w:hAnsi="Arial"/>
          <w:lang w:eastAsia="en-GB"/>
        </w:rPr>
        <w:t>Lloyds group (Banks of Scotland and Lloyds Bank)</w:t>
      </w:r>
    </w:p>
    <w:p w14:paraId="1B48C285" w14:textId="77777777" w:rsidR="00174562" w:rsidRDefault="00174562" w:rsidP="00174562">
      <w:pPr>
        <w:pStyle w:val="ListParagraph"/>
        <w:numPr>
          <w:ilvl w:val="0"/>
          <w:numId w:val="17"/>
        </w:numPr>
        <w:rPr>
          <w:rFonts w:ascii="Arial" w:eastAsia="Times New Roman" w:hAnsi="Arial"/>
          <w:lang w:eastAsia="en-GB"/>
        </w:rPr>
      </w:pPr>
      <w:r>
        <w:rPr>
          <w:rFonts w:ascii="Arial" w:eastAsia="Times New Roman" w:hAnsi="Arial"/>
          <w:lang w:eastAsia="en-GB"/>
        </w:rPr>
        <w:t>Nationwide Building Society</w:t>
      </w:r>
    </w:p>
    <w:p w14:paraId="1B48C286" w14:textId="77777777" w:rsidR="0004205E" w:rsidRPr="0004205E" w:rsidRDefault="0004205E" w:rsidP="0004205E">
      <w:pPr>
        <w:pStyle w:val="ListParagraph"/>
        <w:numPr>
          <w:ilvl w:val="0"/>
          <w:numId w:val="17"/>
        </w:numPr>
        <w:rPr>
          <w:rFonts w:ascii="Arial" w:eastAsia="Times New Roman" w:hAnsi="Arial"/>
          <w:lang w:eastAsia="en-GB"/>
        </w:rPr>
      </w:pPr>
      <w:r w:rsidRPr="00174562">
        <w:rPr>
          <w:rFonts w:ascii="Arial" w:eastAsia="Times New Roman" w:hAnsi="Arial"/>
          <w:lang w:eastAsia="en-GB"/>
        </w:rPr>
        <w:t>Royal Bank of Scotland group (</w:t>
      </w:r>
      <w:r>
        <w:rPr>
          <w:rFonts w:ascii="Arial" w:eastAsia="Times New Roman" w:hAnsi="Arial"/>
          <w:lang w:eastAsia="en-GB"/>
        </w:rPr>
        <w:t>RBS and NatWest Bank)</w:t>
      </w:r>
    </w:p>
    <w:p w14:paraId="1B48C287" w14:textId="77777777" w:rsidR="00174562" w:rsidRDefault="00174562" w:rsidP="00174562">
      <w:pPr>
        <w:pStyle w:val="ListParagraph"/>
        <w:numPr>
          <w:ilvl w:val="0"/>
          <w:numId w:val="17"/>
        </w:numPr>
        <w:rPr>
          <w:rFonts w:ascii="Arial" w:eastAsia="Times New Roman" w:hAnsi="Arial"/>
          <w:lang w:eastAsia="en-GB"/>
        </w:rPr>
      </w:pPr>
      <w:r>
        <w:rPr>
          <w:rFonts w:ascii="Arial" w:eastAsia="Times New Roman" w:hAnsi="Arial"/>
          <w:lang w:eastAsia="en-GB"/>
        </w:rPr>
        <w:t>Santander group (Abbey National Treasury Services and Santander)</w:t>
      </w:r>
    </w:p>
    <w:p w14:paraId="1B48C288" w14:textId="77777777" w:rsidR="00174562" w:rsidRDefault="00174562" w:rsidP="00174562">
      <w:pPr>
        <w:pStyle w:val="ListParagraph"/>
        <w:numPr>
          <w:ilvl w:val="0"/>
          <w:numId w:val="17"/>
        </w:numPr>
        <w:rPr>
          <w:rFonts w:ascii="Arial" w:eastAsia="Times New Roman" w:hAnsi="Arial"/>
          <w:lang w:eastAsia="en-GB"/>
        </w:rPr>
      </w:pPr>
      <w:r>
        <w:rPr>
          <w:rFonts w:ascii="Arial" w:eastAsia="Times New Roman" w:hAnsi="Arial"/>
          <w:lang w:eastAsia="en-GB"/>
        </w:rPr>
        <w:t>Skipton Building Society</w:t>
      </w:r>
    </w:p>
    <w:p w14:paraId="1B48C289" w14:textId="77777777" w:rsidR="00174562" w:rsidRDefault="00174562" w:rsidP="00174562">
      <w:pPr>
        <w:pStyle w:val="ListParagraph"/>
        <w:numPr>
          <w:ilvl w:val="0"/>
          <w:numId w:val="17"/>
        </w:numPr>
        <w:rPr>
          <w:rFonts w:ascii="Arial" w:eastAsia="Times New Roman" w:hAnsi="Arial"/>
          <w:lang w:eastAsia="en-GB"/>
        </w:rPr>
      </w:pPr>
      <w:r>
        <w:rPr>
          <w:rFonts w:ascii="Arial" w:eastAsia="Times New Roman" w:hAnsi="Arial"/>
          <w:lang w:eastAsia="en-GB"/>
        </w:rPr>
        <w:t>Standard Chartered Bank</w:t>
      </w:r>
    </w:p>
    <w:p w14:paraId="1B48C28A" w14:textId="77777777" w:rsidR="00174562" w:rsidRDefault="00174562" w:rsidP="00174562">
      <w:pPr>
        <w:pStyle w:val="ListParagraph"/>
        <w:numPr>
          <w:ilvl w:val="0"/>
          <w:numId w:val="17"/>
        </w:numPr>
        <w:rPr>
          <w:rFonts w:ascii="Arial" w:eastAsia="Times New Roman" w:hAnsi="Arial"/>
          <w:lang w:eastAsia="en-GB"/>
        </w:rPr>
      </w:pPr>
      <w:r>
        <w:rPr>
          <w:rFonts w:ascii="Arial" w:eastAsia="Times New Roman" w:hAnsi="Arial"/>
          <w:lang w:eastAsia="en-GB"/>
        </w:rPr>
        <w:t>Sumitomo Mitsui Banking Corporation Europe</w:t>
      </w:r>
    </w:p>
    <w:p w14:paraId="1B48C28B" w14:textId="77777777" w:rsidR="00174562" w:rsidRDefault="00174562" w:rsidP="00174562">
      <w:pPr>
        <w:pStyle w:val="ListParagraph"/>
        <w:numPr>
          <w:ilvl w:val="0"/>
          <w:numId w:val="17"/>
        </w:numPr>
        <w:rPr>
          <w:rFonts w:ascii="Arial" w:eastAsia="Times New Roman" w:hAnsi="Arial"/>
          <w:lang w:eastAsia="en-GB"/>
        </w:rPr>
      </w:pPr>
      <w:r>
        <w:rPr>
          <w:rFonts w:ascii="Arial" w:eastAsia="Times New Roman" w:hAnsi="Arial"/>
          <w:lang w:eastAsia="en-GB"/>
        </w:rPr>
        <w:t>UBS Limited</w:t>
      </w:r>
    </w:p>
    <w:p w14:paraId="1B48C28C" w14:textId="77777777" w:rsidR="00174562" w:rsidRPr="00174562" w:rsidRDefault="00174562" w:rsidP="00174562">
      <w:pPr>
        <w:pStyle w:val="ListParagraph"/>
        <w:numPr>
          <w:ilvl w:val="0"/>
          <w:numId w:val="17"/>
        </w:numPr>
        <w:rPr>
          <w:rFonts w:ascii="Arial" w:eastAsia="Times New Roman" w:hAnsi="Arial"/>
          <w:lang w:eastAsia="en-GB"/>
        </w:rPr>
      </w:pPr>
      <w:r>
        <w:rPr>
          <w:rFonts w:ascii="Arial" w:eastAsia="Times New Roman" w:hAnsi="Arial"/>
          <w:lang w:eastAsia="en-GB"/>
        </w:rPr>
        <w:t>Yorkshire Building Society</w:t>
      </w:r>
    </w:p>
    <w:p w14:paraId="1B48C28D" w14:textId="77777777" w:rsidR="000604CA" w:rsidRDefault="000604CA" w:rsidP="00A5634A">
      <w:pPr>
        <w:ind w:left="426"/>
        <w:rPr>
          <w:szCs w:val="22"/>
        </w:rPr>
      </w:pPr>
    </w:p>
    <w:p w14:paraId="1B48C28E" w14:textId="77777777" w:rsidR="00A44784" w:rsidRDefault="00A44784" w:rsidP="00A5634A">
      <w:pPr>
        <w:ind w:left="426"/>
        <w:rPr>
          <w:szCs w:val="22"/>
        </w:rPr>
      </w:pPr>
      <w:r>
        <w:rPr>
          <w:szCs w:val="22"/>
        </w:rPr>
        <w:t>Not all of these banks have been used by the council. It is recommended that the Investment Strategy should be interpret</w:t>
      </w:r>
      <w:r w:rsidR="00316318">
        <w:rPr>
          <w:szCs w:val="22"/>
        </w:rPr>
        <w:t>ed to permit use of all of the</w:t>
      </w:r>
      <w:r>
        <w:rPr>
          <w:szCs w:val="22"/>
        </w:rPr>
        <w:t xml:space="preserve"> UK-incorporated banks and building societies which have a Link suggested investment duration of at least three months.</w:t>
      </w:r>
    </w:p>
    <w:p w14:paraId="1B48C28F" w14:textId="77777777" w:rsidR="00A44784" w:rsidRDefault="00A44784" w:rsidP="00A5634A">
      <w:pPr>
        <w:ind w:left="426"/>
        <w:rPr>
          <w:szCs w:val="22"/>
        </w:rPr>
      </w:pPr>
    </w:p>
    <w:p w14:paraId="1B48C290" w14:textId="77777777" w:rsidR="00CA7E75" w:rsidRDefault="00CA7E75" w:rsidP="00A5634A">
      <w:pPr>
        <w:ind w:left="426"/>
        <w:rPr>
          <w:szCs w:val="22"/>
        </w:rPr>
      </w:pPr>
      <w:r>
        <w:rPr>
          <w:szCs w:val="22"/>
        </w:rPr>
        <w:t>Some large banks</w:t>
      </w:r>
      <w:r w:rsidR="0004205E">
        <w:rPr>
          <w:szCs w:val="22"/>
        </w:rPr>
        <w:t>,</w:t>
      </w:r>
      <w:r>
        <w:rPr>
          <w:szCs w:val="22"/>
        </w:rPr>
        <w:t xml:space="preserve"> </w:t>
      </w:r>
      <w:r w:rsidR="0004205E">
        <w:rPr>
          <w:szCs w:val="22"/>
        </w:rPr>
        <w:t xml:space="preserve">which do have credit ratings, </w:t>
      </w:r>
      <w:r>
        <w:rPr>
          <w:szCs w:val="22"/>
        </w:rPr>
        <w:t>currently have no suggested investment duration</w:t>
      </w:r>
      <w:r w:rsidR="0004205E">
        <w:rPr>
          <w:szCs w:val="22"/>
        </w:rPr>
        <w:t xml:space="preserve"> recommended by Link</w:t>
      </w:r>
      <w:r>
        <w:rPr>
          <w:szCs w:val="22"/>
        </w:rPr>
        <w:t>. This is reviewed frequently by Link, and it is possible that ratings may improve so that other banks can be added to this list.</w:t>
      </w:r>
      <w:r w:rsidR="0004205E">
        <w:rPr>
          <w:szCs w:val="22"/>
        </w:rPr>
        <w:t xml:space="preserve"> </w:t>
      </w:r>
      <w:r w:rsidR="00A44784">
        <w:rPr>
          <w:szCs w:val="22"/>
        </w:rPr>
        <w:t>In the meantime, such banks should not be used. This would exclude banks such as the Co-operative Bank and Clydesdale Bank from the list of counterparties for the time being.</w:t>
      </w:r>
    </w:p>
    <w:p w14:paraId="1B48C291" w14:textId="77777777" w:rsidR="00CA7E75" w:rsidRDefault="00CA7E75" w:rsidP="00A5634A">
      <w:pPr>
        <w:ind w:left="426"/>
        <w:rPr>
          <w:szCs w:val="22"/>
        </w:rPr>
      </w:pPr>
    </w:p>
    <w:p w14:paraId="1B48C292" w14:textId="77777777" w:rsidR="00316318" w:rsidRDefault="00CA7E75" w:rsidP="00A5634A">
      <w:pPr>
        <w:ind w:left="426"/>
        <w:rPr>
          <w:szCs w:val="22"/>
        </w:rPr>
      </w:pPr>
      <w:r w:rsidRPr="00316318">
        <w:rPr>
          <w:szCs w:val="22"/>
        </w:rPr>
        <w:t xml:space="preserve">There are a large number of </w:t>
      </w:r>
      <w:r w:rsidR="00316318">
        <w:rPr>
          <w:szCs w:val="22"/>
        </w:rPr>
        <w:t xml:space="preserve">UK-incorporated </w:t>
      </w:r>
      <w:r w:rsidRPr="00316318">
        <w:rPr>
          <w:szCs w:val="22"/>
        </w:rPr>
        <w:t>challenger, specialist and small banks which do not have credit ratings from the three main agencies</w:t>
      </w:r>
      <w:r w:rsidR="00EF2358" w:rsidRPr="00316318">
        <w:rPr>
          <w:szCs w:val="22"/>
        </w:rPr>
        <w:t>, and therefore do not have Link</w:t>
      </w:r>
      <w:r w:rsidRPr="00316318">
        <w:rPr>
          <w:szCs w:val="22"/>
        </w:rPr>
        <w:t xml:space="preserve"> suggested investment durations. </w:t>
      </w:r>
      <w:r w:rsidR="00316318">
        <w:rPr>
          <w:szCs w:val="22"/>
        </w:rPr>
        <w:t>All have been reviewed as potential investment counterparties, but there is no reason to depart from Link’s advice that they should not be used for investment purposes by local authorities.</w:t>
      </w:r>
    </w:p>
    <w:p w14:paraId="1B48C293" w14:textId="77777777" w:rsidR="00316318" w:rsidRPr="00316318" w:rsidRDefault="00316318" w:rsidP="00A5634A">
      <w:pPr>
        <w:ind w:left="426"/>
        <w:rPr>
          <w:szCs w:val="22"/>
        </w:rPr>
      </w:pPr>
    </w:p>
    <w:p w14:paraId="1B48C294" w14:textId="77777777" w:rsidR="00501257" w:rsidRDefault="00501257" w:rsidP="00A5634A">
      <w:pPr>
        <w:ind w:left="426"/>
        <w:rPr>
          <w:szCs w:val="22"/>
        </w:rPr>
      </w:pPr>
      <w:r w:rsidRPr="00016EF5">
        <w:rPr>
          <w:szCs w:val="22"/>
        </w:rPr>
        <w:t>Use of additional non-UK counterparties or an increase in the limit per non-UK bank has not been considered. The only non-UK bank used at present is the large German bank Helaba.</w:t>
      </w:r>
      <w:r w:rsidR="0004205E">
        <w:rPr>
          <w:szCs w:val="22"/>
        </w:rPr>
        <w:t xml:space="preserve"> </w:t>
      </w:r>
      <w:r w:rsidR="00016EF5">
        <w:rPr>
          <w:szCs w:val="22"/>
        </w:rPr>
        <w:t xml:space="preserve">The use of non-UK banks was approved when investment counterparties were reviewed during 2015/16, and Helaba has been used as a counterparty since then. </w:t>
      </w:r>
      <w:r w:rsidR="00316318">
        <w:rPr>
          <w:szCs w:val="22"/>
        </w:rPr>
        <w:t>As the bank has a UK base and takes deposits in sterling, it is broadly equivalent to a UK bank. Risks arising from Brexit are not considered material, but will be monitored.</w:t>
      </w:r>
    </w:p>
    <w:p w14:paraId="1B48C295" w14:textId="77777777" w:rsidR="00A5634A" w:rsidRDefault="00A5634A" w:rsidP="00A5634A">
      <w:pPr>
        <w:ind w:left="426"/>
        <w:rPr>
          <w:szCs w:val="22"/>
        </w:rPr>
      </w:pPr>
    </w:p>
    <w:p w14:paraId="1B48C296" w14:textId="77777777" w:rsidR="00316318" w:rsidRPr="00316318" w:rsidRDefault="008D33B1" w:rsidP="00316318">
      <w:pPr>
        <w:ind w:left="426"/>
        <w:rPr>
          <w:szCs w:val="22"/>
        </w:rPr>
      </w:pPr>
      <w:r>
        <w:rPr>
          <w:szCs w:val="22"/>
        </w:rPr>
        <w:t>Until accounts are set up with additional banks, there is a possibility that the DMADF may have to be used</w:t>
      </w:r>
      <w:r w:rsidR="00BD7052">
        <w:rPr>
          <w:szCs w:val="22"/>
        </w:rPr>
        <w:t xml:space="preserve"> from time to time for short-term investments. To reduce the likelihood of this, i</w:t>
      </w:r>
      <w:r w:rsidR="00D430F6">
        <w:rPr>
          <w:szCs w:val="22"/>
        </w:rPr>
        <w:t xml:space="preserve">t is recommended </w:t>
      </w:r>
      <w:r w:rsidR="00316318" w:rsidRPr="00316318">
        <w:rPr>
          <w:szCs w:val="22"/>
        </w:rPr>
        <w:t xml:space="preserve">that Council should approve an increase in the limit per </w:t>
      </w:r>
      <w:r w:rsidR="00D430F6">
        <w:rPr>
          <w:szCs w:val="22"/>
        </w:rPr>
        <w:t xml:space="preserve">UK </w:t>
      </w:r>
      <w:r w:rsidR="00316318" w:rsidRPr="00316318">
        <w:rPr>
          <w:szCs w:val="22"/>
        </w:rPr>
        <w:t xml:space="preserve">institution or group </w:t>
      </w:r>
      <w:r w:rsidR="00D430F6">
        <w:rPr>
          <w:szCs w:val="22"/>
        </w:rPr>
        <w:t xml:space="preserve">and local authorities </w:t>
      </w:r>
      <w:r w:rsidR="00316318" w:rsidRPr="00316318">
        <w:rPr>
          <w:szCs w:val="22"/>
        </w:rPr>
        <w:t xml:space="preserve">from £5 million to £6 million. The maximum duration of twelve </w:t>
      </w:r>
      <w:r w:rsidR="00316318" w:rsidRPr="00316318">
        <w:rPr>
          <w:szCs w:val="22"/>
        </w:rPr>
        <w:lastRenderedPageBreak/>
        <w:t>months should be retained. All term deposits are approved by the S151 Officer before they are placed, and credit ratings are checked before cash is transferred.</w:t>
      </w:r>
    </w:p>
    <w:p w14:paraId="1B48C297" w14:textId="77777777" w:rsidR="00316318" w:rsidRPr="00F31C99" w:rsidRDefault="00316318" w:rsidP="00A5634A">
      <w:pPr>
        <w:ind w:left="426"/>
        <w:rPr>
          <w:szCs w:val="22"/>
        </w:rPr>
      </w:pPr>
    </w:p>
    <w:p w14:paraId="1B48C298" w14:textId="77777777" w:rsidR="002F5C5E" w:rsidRPr="00792A2B" w:rsidRDefault="002F5C5E" w:rsidP="002F5C5E">
      <w:pPr>
        <w:rPr>
          <w:b/>
          <w:szCs w:val="22"/>
        </w:rPr>
      </w:pPr>
    </w:p>
    <w:p w14:paraId="1B48C299" w14:textId="77777777" w:rsidR="001938D6" w:rsidRPr="00792A2B" w:rsidRDefault="0075776F" w:rsidP="002F5C5E">
      <w:pPr>
        <w:rPr>
          <w:b/>
          <w:szCs w:val="22"/>
        </w:rPr>
      </w:pPr>
      <w:r>
        <w:rPr>
          <w:b/>
          <w:szCs w:val="22"/>
        </w:rPr>
        <w:t>8</w:t>
      </w:r>
      <w:r w:rsidR="002F5C5E" w:rsidRPr="00792A2B">
        <w:rPr>
          <w:b/>
          <w:szCs w:val="22"/>
        </w:rPr>
        <w:t xml:space="preserve">.   </w:t>
      </w:r>
      <w:r w:rsidR="001938D6" w:rsidRPr="00792A2B">
        <w:rPr>
          <w:b/>
          <w:szCs w:val="22"/>
        </w:rPr>
        <w:t xml:space="preserve">CONSULTATION CARRIED OUT AND OUTCOME OF CONSULTATION </w:t>
      </w:r>
    </w:p>
    <w:p w14:paraId="1B48C29A" w14:textId="77777777" w:rsidR="001938D6" w:rsidRPr="00792A2B" w:rsidRDefault="001938D6" w:rsidP="002F5C5E">
      <w:pPr>
        <w:rPr>
          <w:b/>
          <w:szCs w:val="22"/>
        </w:rPr>
      </w:pPr>
    </w:p>
    <w:p w14:paraId="1B48C29B" w14:textId="77777777" w:rsidR="001938D6" w:rsidRPr="00792A2B" w:rsidRDefault="00677ED0" w:rsidP="00677ED0">
      <w:pPr>
        <w:ind w:left="426"/>
        <w:rPr>
          <w:rFonts w:cs="Arial"/>
          <w:i/>
          <w:color w:val="2E74B5"/>
        </w:rPr>
      </w:pPr>
      <w:r>
        <w:rPr>
          <w:szCs w:val="22"/>
        </w:rPr>
        <w:t>No consultation has been undertaken in preparing this report.</w:t>
      </w:r>
    </w:p>
    <w:p w14:paraId="1B48C29C" w14:textId="77777777" w:rsidR="00D430F6" w:rsidRDefault="00D430F6" w:rsidP="00F43895">
      <w:pPr>
        <w:rPr>
          <w:b/>
          <w:szCs w:val="22"/>
        </w:rPr>
      </w:pPr>
    </w:p>
    <w:p w14:paraId="1B48C29D" w14:textId="77777777" w:rsidR="00F43895" w:rsidRPr="00792A2B" w:rsidRDefault="0075776F" w:rsidP="00F43895">
      <w:pPr>
        <w:rPr>
          <w:b/>
          <w:szCs w:val="22"/>
        </w:rPr>
      </w:pPr>
      <w:r>
        <w:rPr>
          <w:b/>
          <w:szCs w:val="22"/>
        </w:rPr>
        <w:t>9</w:t>
      </w:r>
      <w:r w:rsidR="00F43895" w:rsidRPr="00792A2B">
        <w:rPr>
          <w:b/>
          <w:szCs w:val="22"/>
        </w:rPr>
        <w:t xml:space="preserve">.    </w:t>
      </w:r>
      <w:r w:rsidR="00F43895" w:rsidRPr="00792A2B">
        <w:rPr>
          <w:rFonts w:cs="Arial"/>
          <w:b/>
          <w:caps/>
        </w:rPr>
        <w:t>Financial implications</w:t>
      </w:r>
    </w:p>
    <w:p w14:paraId="1B48C29E" w14:textId="77777777" w:rsidR="00F43895" w:rsidRPr="00792A2B" w:rsidRDefault="00F43895" w:rsidP="00F43895">
      <w:pPr>
        <w:ind w:left="567"/>
        <w:rPr>
          <w:rFonts w:cs="Arial"/>
          <w:b/>
          <w:caps/>
        </w:rPr>
      </w:pPr>
    </w:p>
    <w:p w14:paraId="1B48C29F" w14:textId="77777777" w:rsidR="00F43895" w:rsidRPr="00792A2B" w:rsidRDefault="001A4475" w:rsidP="001A4475">
      <w:pPr>
        <w:ind w:left="344"/>
        <w:rPr>
          <w:rFonts w:cs="Arial"/>
          <w:caps/>
          <w:color w:val="2E74B5"/>
        </w:rPr>
      </w:pPr>
      <w:r>
        <w:rPr>
          <w:szCs w:val="22"/>
        </w:rPr>
        <w:t xml:space="preserve">Increasing the maximum invested per UK bank or building society may lead to some reduction in liquidity if </w:t>
      </w:r>
      <w:r w:rsidR="00501257">
        <w:rPr>
          <w:szCs w:val="22"/>
        </w:rPr>
        <w:t>more cash is invested as term deposits. Another consequence may be an increase in the average return. No reduction in security is anticipated.</w:t>
      </w:r>
    </w:p>
    <w:p w14:paraId="1B48C2A0" w14:textId="77777777" w:rsidR="00F43895" w:rsidRPr="00792A2B" w:rsidRDefault="00F43895" w:rsidP="00F43895">
      <w:pPr>
        <w:rPr>
          <w:rFonts w:cs="Arial"/>
          <w:b/>
          <w:color w:val="2E74B5"/>
        </w:rPr>
      </w:pPr>
    </w:p>
    <w:p w14:paraId="1B48C2A1" w14:textId="77777777" w:rsidR="00F43895" w:rsidRPr="00792A2B" w:rsidRDefault="0075776F" w:rsidP="00F43895">
      <w:pPr>
        <w:rPr>
          <w:rFonts w:cs="Arial"/>
          <w:b/>
          <w:caps/>
        </w:rPr>
      </w:pPr>
      <w:r>
        <w:rPr>
          <w:rFonts w:cs="Arial"/>
          <w:b/>
          <w:caps/>
        </w:rPr>
        <w:t>10</w:t>
      </w:r>
      <w:r w:rsidR="00F43895" w:rsidRPr="00792A2B">
        <w:rPr>
          <w:rFonts w:cs="Arial"/>
          <w:b/>
          <w:caps/>
        </w:rPr>
        <w:t>.    LEGAL IMPLICATIONS</w:t>
      </w:r>
    </w:p>
    <w:p w14:paraId="1B48C2A2" w14:textId="77777777" w:rsidR="00F43895" w:rsidRPr="00792A2B" w:rsidRDefault="00F43895" w:rsidP="00F43895">
      <w:pPr>
        <w:rPr>
          <w:rFonts w:cs="Arial"/>
          <w:b/>
          <w:caps/>
        </w:rPr>
      </w:pPr>
    </w:p>
    <w:p w14:paraId="1B48C2A3" w14:textId="77777777" w:rsidR="00F43895" w:rsidRPr="00677ED0" w:rsidRDefault="00AF42F1" w:rsidP="00677ED0">
      <w:pPr>
        <w:ind w:left="426"/>
        <w:rPr>
          <w:szCs w:val="22"/>
        </w:rPr>
      </w:pPr>
      <w:r>
        <w:rPr>
          <w:szCs w:val="22"/>
        </w:rPr>
        <w:t>Please see the Monitoring Officer comments.</w:t>
      </w:r>
    </w:p>
    <w:p w14:paraId="1B48C2A4" w14:textId="77777777" w:rsidR="00F43895" w:rsidRPr="00792A2B" w:rsidRDefault="00F43895" w:rsidP="00F43895">
      <w:pPr>
        <w:rPr>
          <w:rFonts w:cs="Arial"/>
          <w:b/>
          <w:caps/>
        </w:rPr>
      </w:pPr>
    </w:p>
    <w:p w14:paraId="1B48C2A5" w14:textId="77777777" w:rsidR="00F43895" w:rsidRPr="00792A2B" w:rsidRDefault="0075776F" w:rsidP="00F43895">
      <w:pPr>
        <w:rPr>
          <w:rFonts w:cs="Arial"/>
          <w:b/>
        </w:rPr>
      </w:pPr>
      <w:r>
        <w:rPr>
          <w:rFonts w:cs="Arial"/>
          <w:b/>
        </w:rPr>
        <w:t>11</w:t>
      </w:r>
      <w:r w:rsidR="00F43895" w:rsidRPr="00792A2B">
        <w:rPr>
          <w:rFonts w:cs="Arial"/>
          <w:b/>
        </w:rPr>
        <w:t>.  COMMENTS OF THE STATUTORY FINANCE OFFICER</w:t>
      </w:r>
    </w:p>
    <w:p w14:paraId="1B48C2A6" w14:textId="77777777" w:rsidR="00BE2A3F" w:rsidRPr="00792A2B" w:rsidRDefault="00BE2A3F" w:rsidP="00F43895">
      <w:pPr>
        <w:rPr>
          <w:rFonts w:cs="Arial"/>
          <w:b/>
        </w:rPr>
      </w:pPr>
    </w:p>
    <w:p w14:paraId="1B48C2A7" w14:textId="77777777" w:rsidR="00BE2A3F" w:rsidRPr="00677ED0" w:rsidRDefault="00501257" w:rsidP="00677ED0">
      <w:pPr>
        <w:ind w:left="426"/>
        <w:rPr>
          <w:szCs w:val="22"/>
        </w:rPr>
      </w:pPr>
      <w:r>
        <w:rPr>
          <w:szCs w:val="22"/>
        </w:rPr>
        <w:t>The proposed changes have the potential for increasing the average return on treasury investments.</w:t>
      </w:r>
    </w:p>
    <w:p w14:paraId="1B48C2A8" w14:textId="77777777" w:rsidR="00F43895" w:rsidRPr="00792A2B" w:rsidRDefault="00F43895" w:rsidP="00F43895">
      <w:pPr>
        <w:rPr>
          <w:rFonts w:cs="Arial"/>
          <w:b/>
          <w:i/>
        </w:rPr>
      </w:pPr>
    </w:p>
    <w:p w14:paraId="1B48C2A9" w14:textId="77777777" w:rsidR="00F43895" w:rsidRPr="00792A2B" w:rsidRDefault="0075776F" w:rsidP="00BE2A3F">
      <w:pPr>
        <w:rPr>
          <w:rFonts w:cs="Arial"/>
          <w:b/>
        </w:rPr>
      </w:pPr>
      <w:r>
        <w:rPr>
          <w:rFonts w:cs="Arial"/>
          <w:b/>
        </w:rPr>
        <w:t>12</w:t>
      </w:r>
      <w:r w:rsidR="00BE2A3F" w:rsidRPr="00792A2B">
        <w:rPr>
          <w:rFonts w:cs="Arial"/>
          <w:b/>
        </w:rPr>
        <w:t xml:space="preserve">.  </w:t>
      </w:r>
      <w:r w:rsidR="00F43895" w:rsidRPr="00792A2B">
        <w:rPr>
          <w:rFonts w:cs="Arial"/>
          <w:b/>
        </w:rPr>
        <w:t>COMMENTS OF THE MONITORING OFFICER</w:t>
      </w:r>
    </w:p>
    <w:p w14:paraId="1B48C2AA" w14:textId="77777777" w:rsidR="00F43895" w:rsidRPr="00792A2B" w:rsidRDefault="00F43895" w:rsidP="00F43895">
      <w:pPr>
        <w:ind w:left="567"/>
        <w:rPr>
          <w:rFonts w:cs="Arial"/>
          <w:b/>
        </w:rPr>
      </w:pPr>
    </w:p>
    <w:p w14:paraId="1B48C2AB" w14:textId="77777777" w:rsidR="00F43895" w:rsidRPr="006456FA" w:rsidRDefault="00AF42F1" w:rsidP="006456FA">
      <w:pPr>
        <w:ind w:left="426"/>
        <w:rPr>
          <w:szCs w:val="22"/>
        </w:rPr>
      </w:pPr>
      <w:r>
        <w:rPr>
          <w:szCs w:val="22"/>
        </w:rPr>
        <w:t>The Monitoring Officer has no concerns or issues with what is proposed in this report.</w:t>
      </w:r>
    </w:p>
    <w:p w14:paraId="1B48C2AC" w14:textId="77777777" w:rsidR="002F5C5E" w:rsidRPr="00792A2B" w:rsidRDefault="002F5C5E" w:rsidP="002F5C5E">
      <w:pPr>
        <w:rPr>
          <w:b/>
          <w:strike/>
          <w:szCs w:val="22"/>
        </w:rPr>
      </w:pPr>
    </w:p>
    <w:p w14:paraId="1B48C2AD" w14:textId="77777777" w:rsidR="000B5251" w:rsidRPr="00792A2B" w:rsidRDefault="0075776F" w:rsidP="000B5251">
      <w:pPr>
        <w:rPr>
          <w:b/>
          <w:szCs w:val="22"/>
        </w:rPr>
      </w:pPr>
      <w:r>
        <w:rPr>
          <w:b/>
          <w:szCs w:val="22"/>
        </w:rPr>
        <w:t>13</w:t>
      </w:r>
      <w:r w:rsidR="000B5251" w:rsidRPr="00792A2B">
        <w:rPr>
          <w:b/>
          <w:szCs w:val="22"/>
        </w:rPr>
        <w:t xml:space="preserve">. OTHER IMPLICATIONS: </w:t>
      </w:r>
    </w:p>
    <w:p w14:paraId="1B48C2AE" w14:textId="77777777" w:rsidR="003C36EB" w:rsidRPr="00792A2B" w:rsidRDefault="003C36E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1143" w14:paraId="1B48C2C7" w14:textId="77777777" w:rsidTr="009C1143">
        <w:trPr>
          <w:trHeight w:val="334"/>
        </w:trPr>
        <w:tc>
          <w:tcPr>
            <w:tcW w:w="3544" w:type="dxa"/>
            <w:shd w:val="clear" w:color="auto" w:fill="auto"/>
          </w:tcPr>
          <w:p w14:paraId="1B48C2AF" w14:textId="77777777" w:rsidR="002F5C5E" w:rsidRPr="00792A2B" w:rsidRDefault="002F5C5E" w:rsidP="00AC4A99">
            <w:pPr>
              <w:rPr>
                <w:b/>
                <w:szCs w:val="22"/>
              </w:rPr>
            </w:pPr>
          </w:p>
          <w:p w14:paraId="1B48C2B0" w14:textId="77777777" w:rsidR="00A56681" w:rsidRPr="00792A2B" w:rsidRDefault="00A56681" w:rsidP="00A56681">
            <w:pPr>
              <w:numPr>
                <w:ilvl w:val="0"/>
                <w:numId w:val="11"/>
              </w:numPr>
              <w:ind w:left="360"/>
              <w:rPr>
                <w:b/>
                <w:szCs w:val="22"/>
              </w:rPr>
            </w:pPr>
            <w:r w:rsidRPr="00792A2B">
              <w:rPr>
                <w:b/>
                <w:szCs w:val="22"/>
              </w:rPr>
              <w:t xml:space="preserve">HR &amp; Organisational Development </w:t>
            </w:r>
          </w:p>
          <w:p w14:paraId="1B48C2B1" w14:textId="77777777" w:rsidR="00A56681" w:rsidRPr="00792A2B" w:rsidRDefault="00A56681" w:rsidP="00A56681">
            <w:pPr>
              <w:ind w:left="360"/>
              <w:rPr>
                <w:b/>
                <w:szCs w:val="22"/>
              </w:rPr>
            </w:pPr>
          </w:p>
          <w:p w14:paraId="1B48C2B2" w14:textId="77777777" w:rsidR="00A56681" w:rsidRPr="00792A2B" w:rsidRDefault="00A56681" w:rsidP="00A56681">
            <w:pPr>
              <w:numPr>
                <w:ilvl w:val="0"/>
                <w:numId w:val="11"/>
              </w:numPr>
              <w:ind w:left="360"/>
              <w:rPr>
                <w:b/>
                <w:szCs w:val="22"/>
              </w:rPr>
            </w:pPr>
            <w:r w:rsidRPr="00792A2B">
              <w:rPr>
                <w:b/>
                <w:szCs w:val="22"/>
              </w:rPr>
              <w:t>ICT / Technology</w:t>
            </w:r>
          </w:p>
          <w:p w14:paraId="1B48C2B3" w14:textId="77777777" w:rsidR="002F5C5E" w:rsidRPr="00792A2B" w:rsidRDefault="002F5C5E" w:rsidP="00A56681">
            <w:pPr>
              <w:ind w:left="360"/>
              <w:rPr>
                <w:b/>
                <w:szCs w:val="22"/>
              </w:rPr>
            </w:pPr>
          </w:p>
          <w:p w14:paraId="1B48C2B4" w14:textId="77777777" w:rsidR="002F5C5E" w:rsidRPr="00792A2B" w:rsidRDefault="002F5C5E" w:rsidP="0047741D">
            <w:pPr>
              <w:rPr>
                <w:b/>
                <w:szCs w:val="22"/>
              </w:rPr>
            </w:pPr>
          </w:p>
          <w:p w14:paraId="1B48C2B5" w14:textId="77777777" w:rsidR="00A56681" w:rsidRPr="00792A2B" w:rsidRDefault="00A56681" w:rsidP="00A56681">
            <w:pPr>
              <w:numPr>
                <w:ilvl w:val="0"/>
                <w:numId w:val="11"/>
              </w:numPr>
              <w:ind w:left="360"/>
              <w:rPr>
                <w:b/>
                <w:szCs w:val="22"/>
              </w:rPr>
            </w:pPr>
            <w:r w:rsidRPr="00792A2B">
              <w:rPr>
                <w:b/>
                <w:szCs w:val="22"/>
              </w:rPr>
              <w:t>Property &amp; Asset Management</w:t>
            </w:r>
          </w:p>
          <w:p w14:paraId="1B48C2B6" w14:textId="77777777" w:rsidR="00A56681" w:rsidRPr="00792A2B" w:rsidRDefault="00A56681" w:rsidP="00A56681">
            <w:pPr>
              <w:ind w:left="360"/>
              <w:rPr>
                <w:b/>
                <w:szCs w:val="22"/>
              </w:rPr>
            </w:pPr>
          </w:p>
          <w:p w14:paraId="1B48C2B7" w14:textId="77777777" w:rsidR="002F5C5E" w:rsidRPr="00792A2B" w:rsidRDefault="00A56681" w:rsidP="0047741D">
            <w:pPr>
              <w:numPr>
                <w:ilvl w:val="0"/>
                <w:numId w:val="11"/>
              </w:numPr>
              <w:ind w:left="360"/>
              <w:rPr>
                <w:b/>
                <w:szCs w:val="22"/>
              </w:rPr>
            </w:pPr>
            <w:r w:rsidRPr="00792A2B">
              <w:rPr>
                <w:b/>
                <w:szCs w:val="22"/>
              </w:rPr>
              <w:t xml:space="preserve">Risk </w:t>
            </w:r>
          </w:p>
          <w:p w14:paraId="1B48C2B8" w14:textId="77777777" w:rsidR="003C36EB" w:rsidRDefault="003C36EB" w:rsidP="0047741D">
            <w:pPr>
              <w:rPr>
                <w:b/>
                <w:szCs w:val="22"/>
              </w:rPr>
            </w:pPr>
          </w:p>
          <w:p w14:paraId="1B48C2B9" w14:textId="77777777" w:rsidR="008A7FAA" w:rsidRPr="00792A2B" w:rsidRDefault="008A7FAA" w:rsidP="0047741D">
            <w:pPr>
              <w:rPr>
                <w:b/>
                <w:szCs w:val="22"/>
              </w:rPr>
            </w:pPr>
          </w:p>
          <w:p w14:paraId="1B48C2BA" w14:textId="77777777" w:rsidR="002F5C5E" w:rsidRPr="00792A2B" w:rsidRDefault="00A56681" w:rsidP="00A56681">
            <w:pPr>
              <w:numPr>
                <w:ilvl w:val="0"/>
                <w:numId w:val="11"/>
              </w:numPr>
              <w:ind w:left="360"/>
              <w:rPr>
                <w:b/>
                <w:szCs w:val="22"/>
              </w:rPr>
            </w:pPr>
            <w:r w:rsidRPr="00792A2B">
              <w:rPr>
                <w:b/>
                <w:szCs w:val="22"/>
              </w:rPr>
              <w:t xml:space="preserve">Equality &amp; Diversity </w:t>
            </w:r>
          </w:p>
          <w:p w14:paraId="1B48C2BB" w14:textId="77777777" w:rsidR="002F5C5E" w:rsidRPr="00792A2B" w:rsidRDefault="002F5C5E" w:rsidP="006456FA">
            <w:pPr>
              <w:rPr>
                <w:szCs w:val="22"/>
              </w:rPr>
            </w:pPr>
          </w:p>
        </w:tc>
        <w:tc>
          <w:tcPr>
            <w:tcW w:w="6379" w:type="dxa"/>
            <w:shd w:val="clear" w:color="auto" w:fill="auto"/>
          </w:tcPr>
          <w:p w14:paraId="1B48C2BC" w14:textId="77777777" w:rsidR="002F5C5E" w:rsidRPr="00792A2B" w:rsidRDefault="002F5C5E" w:rsidP="00AC4A99">
            <w:pPr>
              <w:rPr>
                <w:szCs w:val="22"/>
              </w:rPr>
            </w:pPr>
          </w:p>
          <w:p w14:paraId="1B48C2BD" w14:textId="77777777" w:rsidR="00F43895" w:rsidRPr="00792A2B" w:rsidRDefault="00F43895" w:rsidP="00AC4A99">
            <w:pPr>
              <w:rPr>
                <w:i/>
                <w:color w:val="2E74B5" w:themeColor="accent1" w:themeShade="BF"/>
                <w:szCs w:val="22"/>
              </w:rPr>
            </w:pPr>
          </w:p>
          <w:p w14:paraId="1B48C2BE" w14:textId="77777777" w:rsidR="00A56681" w:rsidRPr="00792A2B" w:rsidRDefault="00A56681" w:rsidP="00AC4A99">
            <w:pPr>
              <w:rPr>
                <w:i/>
                <w:color w:val="2E74B5"/>
                <w:szCs w:val="22"/>
              </w:rPr>
            </w:pPr>
          </w:p>
          <w:p w14:paraId="1B48C2BF" w14:textId="77777777" w:rsidR="00F43895" w:rsidRDefault="00F43895" w:rsidP="00AC4A99">
            <w:pPr>
              <w:rPr>
                <w:i/>
                <w:color w:val="2E74B5" w:themeColor="accent1" w:themeShade="BF"/>
                <w:szCs w:val="22"/>
              </w:rPr>
            </w:pPr>
          </w:p>
          <w:p w14:paraId="1B48C2C0" w14:textId="77777777" w:rsidR="006456FA" w:rsidRDefault="006456FA" w:rsidP="00AC4A99">
            <w:pPr>
              <w:rPr>
                <w:i/>
                <w:color w:val="2E74B5" w:themeColor="accent1" w:themeShade="BF"/>
                <w:szCs w:val="22"/>
              </w:rPr>
            </w:pPr>
          </w:p>
          <w:p w14:paraId="1B48C2C1" w14:textId="77777777" w:rsidR="006456FA" w:rsidRDefault="006456FA" w:rsidP="00AC4A99">
            <w:pPr>
              <w:rPr>
                <w:i/>
                <w:color w:val="2E74B5" w:themeColor="accent1" w:themeShade="BF"/>
                <w:szCs w:val="22"/>
              </w:rPr>
            </w:pPr>
          </w:p>
          <w:p w14:paraId="1B48C2C2" w14:textId="77777777" w:rsidR="006456FA" w:rsidRDefault="006456FA" w:rsidP="00AC4A99">
            <w:pPr>
              <w:rPr>
                <w:i/>
                <w:color w:val="2E74B5" w:themeColor="accent1" w:themeShade="BF"/>
                <w:szCs w:val="22"/>
              </w:rPr>
            </w:pPr>
          </w:p>
          <w:p w14:paraId="1B48C2C3" w14:textId="77777777" w:rsidR="006456FA" w:rsidRDefault="006456FA" w:rsidP="00AC4A99">
            <w:pPr>
              <w:rPr>
                <w:i/>
                <w:color w:val="2E74B5" w:themeColor="accent1" w:themeShade="BF"/>
                <w:szCs w:val="22"/>
              </w:rPr>
            </w:pPr>
          </w:p>
          <w:p w14:paraId="1B48C2C4" w14:textId="77777777" w:rsidR="006456FA" w:rsidRDefault="006456FA" w:rsidP="00AC4A99">
            <w:pPr>
              <w:rPr>
                <w:i/>
                <w:color w:val="2E74B5" w:themeColor="accent1" w:themeShade="BF"/>
                <w:szCs w:val="22"/>
              </w:rPr>
            </w:pPr>
          </w:p>
          <w:p w14:paraId="1B48C2C5" w14:textId="77777777" w:rsidR="006456FA" w:rsidRDefault="006456FA" w:rsidP="00AC4A99">
            <w:pPr>
              <w:rPr>
                <w:i/>
                <w:color w:val="2E74B5" w:themeColor="accent1" w:themeShade="BF"/>
                <w:szCs w:val="22"/>
              </w:rPr>
            </w:pPr>
          </w:p>
          <w:p w14:paraId="1B48C2C6" w14:textId="77777777" w:rsidR="006456FA" w:rsidRPr="006456FA" w:rsidRDefault="008A7FAA" w:rsidP="001A4475">
            <w:pPr>
              <w:rPr>
                <w:color w:val="2E74B5" w:themeColor="accent1" w:themeShade="BF"/>
                <w:szCs w:val="22"/>
              </w:rPr>
            </w:pPr>
            <w:r w:rsidRPr="008A7FAA">
              <w:rPr>
                <w:rFonts w:cs="Arial"/>
                <w:color w:val="000000" w:themeColor="text1"/>
              </w:rPr>
              <w:t xml:space="preserve">The </w:t>
            </w:r>
            <w:r w:rsidR="001A4475">
              <w:rPr>
                <w:rFonts w:cs="Arial"/>
                <w:color w:val="000000" w:themeColor="text1"/>
              </w:rPr>
              <w:t>Investment</w:t>
            </w:r>
            <w:r>
              <w:rPr>
                <w:rFonts w:cs="Arial"/>
                <w:color w:val="000000" w:themeColor="text1"/>
              </w:rPr>
              <w:t xml:space="preserve"> Strategy sets limits on investments in order to manage risks.</w:t>
            </w:r>
          </w:p>
        </w:tc>
      </w:tr>
    </w:tbl>
    <w:p w14:paraId="1B48C2C8" w14:textId="77777777" w:rsidR="0075776F" w:rsidRDefault="0075776F" w:rsidP="002F5C5E">
      <w:pPr>
        <w:rPr>
          <w:b/>
          <w:szCs w:val="22"/>
        </w:rPr>
      </w:pPr>
    </w:p>
    <w:p w14:paraId="1B48C2C9" w14:textId="77777777" w:rsidR="002F5C5E" w:rsidRDefault="0075776F" w:rsidP="002F5C5E">
      <w:pPr>
        <w:rPr>
          <w:b/>
          <w:szCs w:val="22"/>
        </w:rPr>
      </w:pPr>
      <w:r>
        <w:rPr>
          <w:b/>
          <w:szCs w:val="22"/>
        </w:rPr>
        <w:t>14</w:t>
      </w:r>
      <w:r w:rsidR="008A7FAA">
        <w:rPr>
          <w:b/>
          <w:szCs w:val="22"/>
        </w:rPr>
        <w:t>. BACKGROUND DOCUMENTS</w:t>
      </w:r>
    </w:p>
    <w:p w14:paraId="1B48C2CA" w14:textId="77777777" w:rsidR="000B5251" w:rsidRPr="009C1143" w:rsidRDefault="000B5251" w:rsidP="002F5C5E">
      <w:pPr>
        <w:rPr>
          <w:szCs w:val="22"/>
        </w:rPr>
      </w:pPr>
    </w:p>
    <w:p w14:paraId="1B48C2CB" w14:textId="77777777" w:rsidR="000200DE" w:rsidRPr="000200DE" w:rsidRDefault="000200DE" w:rsidP="000B5251">
      <w:pPr>
        <w:rPr>
          <w:szCs w:val="22"/>
        </w:rPr>
      </w:pPr>
      <w:r>
        <w:rPr>
          <w:szCs w:val="22"/>
        </w:rPr>
        <w:t>Treasury Strategy 2018/19 to 2022/23</w:t>
      </w:r>
      <w:r>
        <w:rPr>
          <w:szCs w:val="22"/>
        </w:rPr>
        <w:tab/>
      </w:r>
      <w:r>
        <w:rPr>
          <w:szCs w:val="22"/>
        </w:rPr>
        <w:tab/>
      </w:r>
      <w:r>
        <w:rPr>
          <w:szCs w:val="22"/>
        </w:rPr>
        <w:tab/>
        <w:t>(Council 28/2/18)</w:t>
      </w:r>
    </w:p>
    <w:p w14:paraId="1B48C2CC" w14:textId="77777777" w:rsidR="005C2E95" w:rsidRDefault="005C2E95">
      <w:pPr>
        <w:rPr>
          <w:b/>
        </w:rPr>
      </w:pPr>
    </w:p>
    <w:p w14:paraId="1B48C2CD" w14:textId="77777777" w:rsidR="000B5251" w:rsidRDefault="0008263B" w:rsidP="000B5251">
      <w:pPr>
        <w:rPr>
          <w:b/>
        </w:rPr>
      </w:pPr>
      <w:r>
        <w:rPr>
          <w:b/>
        </w:rPr>
        <w:t>15</w:t>
      </w:r>
      <w:r w:rsidR="00210AD7">
        <w:rPr>
          <w:b/>
        </w:rPr>
        <w:t xml:space="preserve">. APPENDICES </w:t>
      </w:r>
    </w:p>
    <w:p w14:paraId="1B48C2CE" w14:textId="77777777" w:rsidR="000B5251" w:rsidRDefault="000B5251" w:rsidP="000B5251">
      <w:pPr>
        <w:rPr>
          <w:b/>
        </w:rPr>
      </w:pPr>
    </w:p>
    <w:p w14:paraId="1B48C2CF" w14:textId="77777777" w:rsidR="000B5251" w:rsidRPr="00210AD7" w:rsidRDefault="000B5251" w:rsidP="000B5251">
      <w:pPr>
        <w:ind w:left="720" w:hanging="720"/>
        <w:rPr>
          <w:rFonts w:cs="Arial"/>
          <w:color w:val="000000" w:themeColor="text1"/>
        </w:rPr>
      </w:pPr>
      <w:r w:rsidRPr="00210AD7">
        <w:rPr>
          <w:rFonts w:cs="Arial"/>
          <w:color w:val="000000" w:themeColor="text1"/>
        </w:rPr>
        <w:t>Appendix A</w:t>
      </w:r>
      <w:r w:rsidR="00210AD7">
        <w:rPr>
          <w:rFonts w:cs="Arial"/>
          <w:color w:val="000000" w:themeColor="text1"/>
        </w:rPr>
        <w:tab/>
      </w:r>
      <w:r w:rsidR="001A4475">
        <w:rPr>
          <w:rFonts w:cs="Arial"/>
          <w:color w:val="000000" w:themeColor="text1"/>
        </w:rPr>
        <w:t>SRBC Investment Performance Quarter 1 2018/19</w:t>
      </w:r>
    </w:p>
    <w:p w14:paraId="1B48C2D0" w14:textId="77777777" w:rsidR="000B5251" w:rsidRDefault="00210AD7" w:rsidP="000B5251">
      <w:pPr>
        <w:ind w:left="720" w:hanging="720"/>
        <w:rPr>
          <w:rFonts w:cs="Arial"/>
          <w:color w:val="000000" w:themeColor="text1"/>
        </w:rPr>
      </w:pPr>
      <w:r>
        <w:rPr>
          <w:rFonts w:cs="Arial"/>
          <w:color w:val="000000" w:themeColor="text1"/>
        </w:rPr>
        <w:t>Appendix B</w:t>
      </w:r>
      <w:r>
        <w:rPr>
          <w:rFonts w:cs="Arial"/>
          <w:color w:val="000000" w:themeColor="text1"/>
        </w:rPr>
        <w:tab/>
      </w:r>
      <w:r w:rsidR="001A4475">
        <w:rPr>
          <w:rFonts w:cs="Arial"/>
          <w:color w:val="000000" w:themeColor="text1"/>
        </w:rPr>
        <w:t>Comparison of Investments by Counterparty Category</w:t>
      </w:r>
    </w:p>
    <w:p w14:paraId="1B48C2D1" w14:textId="77777777" w:rsidR="00210AD7" w:rsidRDefault="00210AD7" w:rsidP="000B5251">
      <w:pPr>
        <w:ind w:left="720" w:hanging="720"/>
        <w:rPr>
          <w:rFonts w:cs="Arial"/>
          <w:color w:val="000000" w:themeColor="text1"/>
        </w:rPr>
      </w:pPr>
      <w:r>
        <w:rPr>
          <w:rFonts w:cs="Arial"/>
          <w:color w:val="000000" w:themeColor="text1"/>
        </w:rPr>
        <w:t xml:space="preserve">Appendix </w:t>
      </w:r>
      <w:r w:rsidR="00174562">
        <w:rPr>
          <w:rFonts w:cs="Arial"/>
          <w:color w:val="000000" w:themeColor="text1"/>
        </w:rPr>
        <w:t>C</w:t>
      </w:r>
      <w:r>
        <w:rPr>
          <w:rFonts w:cs="Arial"/>
          <w:color w:val="000000" w:themeColor="text1"/>
        </w:rPr>
        <w:tab/>
      </w:r>
      <w:r w:rsidR="001A4475">
        <w:rPr>
          <w:rFonts w:cs="Arial"/>
          <w:color w:val="000000" w:themeColor="text1"/>
        </w:rPr>
        <w:t>Proposed Revisions to Investment Counterparties 2018/19</w:t>
      </w:r>
    </w:p>
    <w:p w14:paraId="1B48C2D2" w14:textId="77777777" w:rsidR="001C5E49" w:rsidRPr="00210AD7" w:rsidRDefault="001C5E49" w:rsidP="000B5251">
      <w:pPr>
        <w:tabs>
          <w:tab w:val="left" w:pos="2839"/>
        </w:tabs>
        <w:rPr>
          <w:rFonts w:cs="Arial"/>
          <w:color w:val="000000" w:themeColor="text1"/>
        </w:rPr>
      </w:pPr>
    </w:p>
    <w:p w14:paraId="1B48C2D3" w14:textId="77777777" w:rsidR="001C5E49" w:rsidRPr="00810DD3" w:rsidRDefault="001C5E49" w:rsidP="001C5E49">
      <w:pPr>
        <w:tabs>
          <w:tab w:val="left" w:pos="2839"/>
        </w:tabs>
        <w:ind w:left="426" w:hanging="426"/>
        <w:rPr>
          <w:rFonts w:cs="Arial"/>
          <w:color w:val="000000" w:themeColor="text1"/>
        </w:rPr>
      </w:pPr>
    </w:p>
    <w:p w14:paraId="1B48C2D4" w14:textId="77777777" w:rsidR="001C5E49" w:rsidRPr="00810DD3" w:rsidRDefault="000B5251" w:rsidP="001C5E49">
      <w:pPr>
        <w:tabs>
          <w:tab w:val="left" w:pos="2839"/>
        </w:tabs>
        <w:ind w:left="426" w:hanging="426"/>
        <w:rPr>
          <w:rFonts w:cs="Arial"/>
          <w:color w:val="000000" w:themeColor="text1"/>
        </w:rPr>
      </w:pPr>
      <w:r w:rsidRPr="00810DD3">
        <w:rPr>
          <w:rFonts w:cs="Arial"/>
          <w:color w:val="000000" w:themeColor="text1"/>
        </w:rPr>
        <w:t>EL</w:t>
      </w:r>
      <w:r w:rsidR="001C5E49" w:rsidRPr="00810DD3">
        <w:rPr>
          <w:rFonts w:cs="Arial"/>
          <w:color w:val="000000" w:themeColor="text1"/>
        </w:rPr>
        <w:t>T Member’s Name</w:t>
      </w:r>
      <w:r w:rsidR="00810DD3">
        <w:rPr>
          <w:rFonts w:cs="Arial"/>
          <w:color w:val="000000" w:themeColor="text1"/>
        </w:rPr>
        <w:t>: Helen Seechurn</w:t>
      </w:r>
    </w:p>
    <w:p w14:paraId="1B48C2D5" w14:textId="77777777" w:rsidR="001C5E49" w:rsidRPr="00E66713" w:rsidRDefault="001C5E49" w:rsidP="001C5E49">
      <w:pPr>
        <w:tabs>
          <w:tab w:val="left" w:pos="2839"/>
        </w:tabs>
        <w:rPr>
          <w:rFonts w:cs="Arial"/>
          <w:color w:val="0070C0"/>
        </w:rPr>
      </w:pPr>
      <w:r w:rsidRPr="00810DD3">
        <w:rPr>
          <w:rFonts w:cs="Arial"/>
          <w:color w:val="000000" w:themeColor="text1"/>
        </w:rPr>
        <w:lastRenderedPageBreak/>
        <w:t>Job Title</w:t>
      </w:r>
      <w:r w:rsidR="00810DD3">
        <w:rPr>
          <w:rFonts w:cs="Arial"/>
          <w:color w:val="000000" w:themeColor="text1"/>
        </w:rPr>
        <w:t>: Deputy Chief Executive (Resources &amp; Transformation)</w:t>
      </w:r>
      <w:r w:rsidR="00810DD3">
        <w:rPr>
          <w:rFonts w:cs="Arial"/>
          <w:color w:val="000000" w:themeColor="text1"/>
        </w:rPr>
        <w:tab/>
      </w:r>
      <w:r w:rsidRPr="00810DD3">
        <w:rPr>
          <w:rFonts w:cs="Arial"/>
          <w:color w:val="000000" w:themeColor="text1"/>
        </w:rPr>
        <w:t xml:space="preserve"> </w:t>
      </w:r>
    </w:p>
    <w:p w14:paraId="1B48C2D6" w14:textId="77777777" w:rsidR="001C5E49" w:rsidRPr="007F1945" w:rsidRDefault="001C5E49"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2"/>
        <w:gridCol w:w="1554"/>
        <w:gridCol w:w="2354"/>
      </w:tblGrid>
      <w:tr w:rsidR="001C5E49" w14:paraId="1B48C2DA" w14:textId="77777777" w:rsidTr="00E2196F">
        <w:tc>
          <w:tcPr>
            <w:tcW w:w="5700" w:type="dxa"/>
            <w:shd w:val="clear" w:color="auto" w:fill="auto"/>
          </w:tcPr>
          <w:p w14:paraId="1B48C2D7" w14:textId="77777777" w:rsidR="001C5E49" w:rsidRPr="0031059E" w:rsidRDefault="001C5E49" w:rsidP="00E2196F">
            <w:pPr>
              <w:rPr>
                <w:rFonts w:cs="Arial"/>
              </w:rPr>
            </w:pPr>
            <w:r w:rsidRPr="0031059E">
              <w:rPr>
                <w:rFonts w:cs="Arial"/>
              </w:rPr>
              <w:t>Report Author:</w:t>
            </w:r>
          </w:p>
        </w:tc>
        <w:tc>
          <w:tcPr>
            <w:tcW w:w="1559" w:type="dxa"/>
            <w:shd w:val="clear" w:color="auto" w:fill="auto"/>
          </w:tcPr>
          <w:p w14:paraId="1B48C2D8" w14:textId="77777777" w:rsidR="001C5E49" w:rsidRPr="0031059E" w:rsidRDefault="001C5E49" w:rsidP="00E2196F">
            <w:pPr>
              <w:rPr>
                <w:rFonts w:cs="Arial"/>
              </w:rPr>
            </w:pPr>
            <w:r w:rsidRPr="0031059E">
              <w:rPr>
                <w:rFonts w:cs="Arial"/>
              </w:rPr>
              <w:t>Telephone:</w:t>
            </w:r>
          </w:p>
        </w:tc>
        <w:tc>
          <w:tcPr>
            <w:tcW w:w="2380" w:type="dxa"/>
            <w:shd w:val="clear" w:color="auto" w:fill="auto"/>
          </w:tcPr>
          <w:p w14:paraId="1B48C2D9" w14:textId="77777777" w:rsidR="001C5E49" w:rsidRPr="0031059E" w:rsidRDefault="001C5E49" w:rsidP="00E2196F">
            <w:pPr>
              <w:rPr>
                <w:rFonts w:cs="Arial"/>
              </w:rPr>
            </w:pPr>
            <w:r w:rsidRPr="0031059E">
              <w:rPr>
                <w:rFonts w:cs="Arial"/>
              </w:rPr>
              <w:t>Date:</w:t>
            </w:r>
          </w:p>
        </w:tc>
      </w:tr>
      <w:tr w:rsidR="00C903AC" w14:paraId="1B48C2E2" w14:textId="77777777" w:rsidTr="00E2196F">
        <w:tc>
          <w:tcPr>
            <w:tcW w:w="5700" w:type="dxa"/>
            <w:shd w:val="clear" w:color="auto" w:fill="auto"/>
          </w:tcPr>
          <w:p w14:paraId="1B48C2DB" w14:textId="77777777" w:rsidR="00C903AC" w:rsidRPr="00810DD3" w:rsidRDefault="00810DD3" w:rsidP="00C903AC">
            <w:pPr>
              <w:rPr>
                <w:rFonts w:cs="Arial"/>
                <w:color w:val="000000" w:themeColor="text1"/>
              </w:rPr>
            </w:pPr>
            <w:r w:rsidRPr="00810DD3">
              <w:rPr>
                <w:rFonts w:cs="Arial"/>
                <w:color w:val="000000" w:themeColor="text1"/>
              </w:rPr>
              <w:t>Michael Jackson</w:t>
            </w:r>
          </w:p>
          <w:p w14:paraId="1B48C2DC" w14:textId="77777777" w:rsidR="00810DD3" w:rsidRPr="00810DD3" w:rsidRDefault="00810DD3" w:rsidP="00C903AC">
            <w:pPr>
              <w:rPr>
                <w:rFonts w:cs="Arial"/>
                <w:color w:val="000000" w:themeColor="text1"/>
              </w:rPr>
            </w:pPr>
            <w:r w:rsidRPr="00810DD3">
              <w:rPr>
                <w:rFonts w:cs="Arial"/>
                <w:color w:val="000000" w:themeColor="text1"/>
              </w:rPr>
              <w:t>Principal Financial Accountant</w:t>
            </w:r>
          </w:p>
          <w:p w14:paraId="1B48C2DD" w14:textId="77777777" w:rsidR="00C903AC" w:rsidRPr="0031059E" w:rsidRDefault="00C903AC" w:rsidP="00C903AC">
            <w:pPr>
              <w:ind w:left="-539" w:firstLine="539"/>
              <w:rPr>
                <w:rFonts w:cs="Arial"/>
              </w:rPr>
            </w:pPr>
          </w:p>
        </w:tc>
        <w:tc>
          <w:tcPr>
            <w:tcW w:w="1559" w:type="dxa"/>
            <w:shd w:val="clear" w:color="auto" w:fill="auto"/>
          </w:tcPr>
          <w:p w14:paraId="1B48C2DE" w14:textId="77777777" w:rsidR="00810DD3" w:rsidRDefault="00810DD3" w:rsidP="00C903AC">
            <w:pPr>
              <w:rPr>
                <w:rFonts w:cs="Arial"/>
              </w:rPr>
            </w:pPr>
            <w:r>
              <w:rPr>
                <w:rFonts w:cs="Arial"/>
              </w:rPr>
              <w:t>01257</w:t>
            </w:r>
          </w:p>
          <w:p w14:paraId="1B48C2DF" w14:textId="77777777" w:rsidR="00C903AC" w:rsidRPr="0031059E" w:rsidRDefault="00810DD3" w:rsidP="00C903AC">
            <w:pPr>
              <w:rPr>
                <w:rFonts w:cs="Arial"/>
              </w:rPr>
            </w:pPr>
            <w:r>
              <w:rPr>
                <w:rFonts w:cs="Arial"/>
              </w:rPr>
              <w:t>515490</w:t>
            </w:r>
          </w:p>
        </w:tc>
        <w:tc>
          <w:tcPr>
            <w:tcW w:w="2380" w:type="dxa"/>
            <w:shd w:val="clear" w:color="auto" w:fill="auto"/>
          </w:tcPr>
          <w:p w14:paraId="1B48C2E0" w14:textId="77777777" w:rsidR="00810DD3" w:rsidRDefault="00810DD3" w:rsidP="00C903AC">
            <w:pPr>
              <w:rPr>
                <w:rFonts w:cs="Arial"/>
              </w:rPr>
            </w:pPr>
          </w:p>
          <w:p w14:paraId="1B48C2E1" w14:textId="77777777" w:rsidR="00C903AC" w:rsidRPr="0031059E" w:rsidRDefault="001A4475" w:rsidP="00810DD3">
            <w:pPr>
              <w:jc w:val="center"/>
              <w:rPr>
                <w:rFonts w:cs="Arial"/>
              </w:rPr>
            </w:pPr>
            <w:r>
              <w:rPr>
                <w:rFonts w:cs="Arial"/>
              </w:rPr>
              <w:t>27/08</w:t>
            </w:r>
            <w:r w:rsidR="00810DD3">
              <w:rPr>
                <w:rFonts w:cs="Arial"/>
              </w:rPr>
              <w:t>/18</w:t>
            </w:r>
          </w:p>
        </w:tc>
      </w:tr>
    </w:tbl>
    <w:p w14:paraId="1B48C2E3" w14:textId="77777777" w:rsidR="001C5E49" w:rsidRPr="009725FB" w:rsidRDefault="001C5E49" w:rsidP="0008263B">
      <w:pPr>
        <w:tabs>
          <w:tab w:val="left" w:pos="2839"/>
        </w:tabs>
        <w:rPr>
          <w:rFonts w:cs="Arial"/>
        </w:rPr>
      </w:pPr>
    </w:p>
    <w:sectPr w:rsidR="001C5E49" w:rsidRPr="009725FB" w:rsidSect="00E971A2">
      <w:footerReference w:type="default" r:id="rId11"/>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8C2EC" w14:textId="77777777" w:rsidR="00E2196F" w:rsidRDefault="00E2196F">
      <w:r>
        <w:separator/>
      </w:r>
    </w:p>
  </w:endnote>
  <w:endnote w:type="continuationSeparator" w:id="0">
    <w:p w14:paraId="1B48C2ED" w14:textId="77777777" w:rsidR="00E2196F" w:rsidRDefault="00E2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8C2EE" w14:textId="77777777"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836F69">
      <w:rPr>
        <w:noProof/>
        <w:sz w:val="24"/>
      </w:rPr>
      <w:t>6</w:t>
    </w:r>
    <w:r w:rsidRPr="00FD7B65">
      <w:rPr>
        <w:noProof/>
        <w:sz w:val="24"/>
      </w:rPr>
      <w:fldChar w:fldCharType="end"/>
    </w:r>
  </w:p>
  <w:p w14:paraId="1B48C2EF" w14:textId="77777777"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8C2EA" w14:textId="77777777" w:rsidR="00E2196F" w:rsidRDefault="00E2196F">
      <w:r>
        <w:separator/>
      </w:r>
    </w:p>
  </w:footnote>
  <w:footnote w:type="continuationSeparator" w:id="0">
    <w:p w14:paraId="1B48C2EB" w14:textId="77777777" w:rsidR="00E2196F" w:rsidRDefault="00E21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B3AE4"/>
    <w:multiLevelType w:val="hybridMultilevel"/>
    <w:tmpl w:val="E4E027A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0937154"/>
    <w:multiLevelType w:val="hybridMultilevel"/>
    <w:tmpl w:val="C2084C0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2"/>
  </w:num>
  <w:num w:numId="2">
    <w:abstractNumId w:val="14"/>
  </w:num>
  <w:num w:numId="3">
    <w:abstractNumId w:val="15"/>
  </w:num>
  <w:num w:numId="4">
    <w:abstractNumId w:val="10"/>
  </w:num>
  <w:num w:numId="5">
    <w:abstractNumId w:val="13"/>
  </w:num>
  <w:num w:numId="6">
    <w:abstractNumId w:val="7"/>
  </w:num>
  <w:num w:numId="7">
    <w:abstractNumId w:val="5"/>
  </w:num>
  <w:num w:numId="8">
    <w:abstractNumId w:val="6"/>
  </w:num>
  <w:num w:numId="9">
    <w:abstractNumId w:val="1"/>
  </w:num>
  <w:num w:numId="10">
    <w:abstractNumId w:val="3"/>
  </w:num>
  <w:num w:numId="11">
    <w:abstractNumId w:val="4"/>
  </w:num>
  <w:num w:numId="12">
    <w:abstractNumId w:val="11"/>
  </w:num>
  <w:num w:numId="13">
    <w:abstractNumId w:val="0"/>
  </w:num>
  <w:num w:numId="14">
    <w:abstractNumId w:val="16"/>
  </w:num>
  <w:num w:numId="15">
    <w:abstractNumId w:val="8"/>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6520"/>
    <w:rsid w:val="00016DD3"/>
    <w:rsid w:val="00016EF5"/>
    <w:rsid w:val="000200DE"/>
    <w:rsid w:val="00025DED"/>
    <w:rsid w:val="0004205E"/>
    <w:rsid w:val="000604CA"/>
    <w:rsid w:val="0008263B"/>
    <w:rsid w:val="000B5251"/>
    <w:rsid w:val="000E10FE"/>
    <w:rsid w:val="000F2C8A"/>
    <w:rsid w:val="0011642A"/>
    <w:rsid w:val="001544DD"/>
    <w:rsid w:val="00174562"/>
    <w:rsid w:val="00184E1D"/>
    <w:rsid w:val="001938D6"/>
    <w:rsid w:val="001A4475"/>
    <w:rsid w:val="001C5E49"/>
    <w:rsid w:val="001F6C0F"/>
    <w:rsid w:val="00210AD7"/>
    <w:rsid w:val="002221BD"/>
    <w:rsid w:val="0025591B"/>
    <w:rsid w:val="002820A5"/>
    <w:rsid w:val="002B3F28"/>
    <w:rsid w:val="002E4FF4"/>
    <w:rsid w:val="002F5C5E"/>
    <w:rsid w:val="00316318"/>
    <w:rsid w:val="00342AB1"/>
    <w:rsid w:val="00345C71"/>
    <w:rsid w:val="00386AAD"/>
    <w:rsid w:val="003902A2"/>
    <w:rsid w:val="00392E2E"/>
    <w:rsid w:val="003A1B3F"/>
    <w:rsid w:val="003A23D3"/>
    <w:rsid w:val="003A2919"/>
    <w:rsid w:val="003B1E6D"/>
    <w:rsid w:val="003C36EB"/>
    <w:rsid w:val="003C4253"/>
    <w:rsid w:val="003E33E6"/>
    <w:rsid w:val="003F5603"/>
    <w:rsid w:val="00405D4A"/>
    <w:rsid w:val="00417F27"/>
    <w:rsid w:val="004218EA"/>
    <w:rsid w:val="00442C46"/>
    <w:rsid w:val="00454612"/>
    <w:rsid w:val="00466239"/>
    <w:rsid w:val="00474DA8"/>
    <w:rsid w:val="0047741D"/>
    <w:rsid w:val="004A45D4"/>
    <w:rsid w:val="004B33F6"/>
    <w:rsid w:val="004B756A"/>
    <w:rsid w:val="004D7260"/>
    <w:rsid w:val="004F23B3"/>
    <w:rsid w:val="00501257"/>
    <w:rsid w:val="005041BB"/>
    <w:rsid w:val="00525728"/>
    <w:rsid w:val="00533525"/>
    <w:rsid w:val="00547120"/>
    <w:rsid w:val="00547481"/>
    <w:rsid w:val="005665C3"/>
    <w:rsid w:val="0057341E"/>
    <w:rsid w:val="00576A82"/>
    <w:rsid w:val="005A26AD"/>
    <w:rsid w:val="005B0C36"/>
    <w:rsid w:val="005C2E95"/>
    <w:rsid w:val="005D4F59"/>
    <w:rsid w:val="0060374B"/>
    <w:rsid w:val="00630F86"/>
    <w:rsid w:val="00633396"/>
    <w:rsid w:val="006456FA"/>
    <w:rsid w:val="00645A0B"/>
    <w:rsid w:val="006555E6"/>
    <w:rsid w:val="00677ED0"/>
    <w:rsid w:val="006879CA"/>
    <w:rsid w:val="006A2E65"/>
    <w:rsid w:val="006B645E"/>
    <w:rsid w:val="006B7116"/>
    <w:rsid w:val="006C04C1"/>
    <w:rsid w:val="006C209A"/>
    <w:rsid w:val="006E09FB"/>
    <w:rsid w:val="006F2214"/>
    <w:rsid w:val="006F450B"/>
    <w:rsid w:val="006F76A3"/>
    <w:rsid w:val="00701A60"/>
    <w:rsid w:val="00707E99"/>
    <w:rsid w:val="00712E3F"/>
    <w:rsid w:val="00712FB6"/>
    <w:rsid w:val="0075776F"/>
    <w:rsid w:val="00772B9C"/>
    <w:rsid w:val="00792A2B"/>
    <w:rsid w:val="007E5760"/>
    <w:rsid w:val="00810DD3"/>
    <w:rsid w:val="00836F69"/>
    <w:rsid w:val="008555F0"/>
    <w:rsid w:val="00876244"/>
    <w:rsid w:val="00893AD2"/>
    <w:rsid w:val="00893BEE"/>
    <w:rsid w:val="008A2F6B"/>
    <w:rsid w:val="008A42E3"/>
    <w:rsid w:val="008A77AB"/>
    <w:rsid w:val="008A7FAA"/>
    <w:rsid w:val="008B41C5"/>
    <w:rsid w:val="008C3B1A"/>
    <w:rsid w:val="008D33B1"/>
    <w:rsid w:val="008D623F"/>
    <w:rsid w:val="008F4B91"/>
    <w:rsid w:val="0090542C"/>
    <w:rsid w:val="0092404C"/>
    <w:rsid w:val="009350CB"/>
    <w:rsid w:val="009538AE"/>
    <w:rsid w:val="00980267"/>
    <w:rsid w:val="00983CD5"/>
    <w:rsid w:val="00992E79"/>
    <w:rsid w:val="009A6B16"/>
    <w:rsid w:val="009A714A"/>
    <w:rsid w:val="009C1143"/>
    <w:rsid w:val="009E48E0"/>
    <w:rsid w:val="00A1406A"/>
    <w:rsid w:val="00A22D02"/>
    <w:rsid w:val="00A30426"/>
    <w:rsid w:val="00A44784"/>
    <w:rsid w:val="00A4702E"/>
    <w:rsid w:val="00A50754"/>
    <w:rsid w:val="00A5634A"/>
    <w:rsid w:val="00A56681"/>
    <w:rsid w:val="00A609DF"/>
    <w:rsid w:val="00A611AD"/>
    <w:rsid w:val="00A76482"/>
    <w:rsid w:val="00A852E7"/>
    <w:rsid w:val="00AC4A99"/>
    <w:rsid w:val="00AE00C9"/>
    <w:rsid w:val="00AE43EC"/>
    <w:rsid w:val="00AF42F1"/>
    <w:rsid w:val="00B05FE8"/>
    <w:rsid w:val="00B1788B"/>
    <w:rsid w:val="00B443DD"/>
    <w:rsid w:val="00B51DB8"/>
    <w:rsid w:val="00B56722"/>
    <w:rsid w:val="00B62D79"/>
    <w:rsid w:val="00B67E62"/>
    <w:rsid w:val="00B70B91"/>
    <w:rsid w:val="00B716F5"/>
    <w:rsid w:val="00B72A06"/>
    <w:rsid w:val="00B72BFF"/>
    <w:rsid w:val="00B766C4"/>
    <w:rsid w:val="00B878E6"/>
    <w:rsid w:val="00B92298"/>
    <w:rsid w:val="00BA2606"/>
    <w:rsid w:val="00BC6635"/>
    <w:rsid w:val="00BD48EB"/>
    <w:rsid w:val="00BD6431"/>
    <w:rsid w:val="00BD7052"/>
    <w:rsid w:val="00BE2A3F"/>
    <w:rsid w:val="00BE762D"/>
    <w:rsid w:val="00C00AB4"/>
    <w:rsid w:val="00C022F9"/>
    <w:rsid w:val="00C209E3"/>
    <w:rsid w:val="00C30128"/>
    <w:rsid w:val="00C52450"/>
    <w:rsid w:val="00C64ED1"/>
    <w:rsid w:val="00C66BAA"/>
    <w:rsid w:val="00C853D3"/>
    <w:rsid w:val="00C903AC"/>
    <w:rsid w:val="00CA7E75"/>
    <w:rsid w:val="00CB32DF"/>
    <w:rsid w:val="00CC3246"/>
    <w:rsid w:val="00CE3DA1"/>
    <w:rsid w:val="00CE4482"/>
    <w:rsid w:val="00CF6B60"/>
    <w:rsid w:val="00D03328"/>
    <w:rsid w:val="00D36638"/>
    <w:rsid w:val="00D37BAE"/>
    <w:rsid w:val="00D430F6"/>
    <w:rsid w:val="00D772AB"/>
    <w:rsid w:val="00D90A00"/>
    <w:rsid w:val="00D91845"/>
    <w:rsid w:val="00D9371C"/>
    <w:rsid w:val="00DB3FD0"/>
    <w:rsid w:val="00DE5E12"/>
    <w:rsid w:val="00E2196F"/>
    <w:rsid w:val="00E2276E"/>
    <w:rsid w:val="00E41950"/>
    <w:rsid w:val="00E569CB"/>
    <w:rsid w:val="00E577A2"/>
    <w:rsid w:val="00E60A53"/>
    <w:rsid w:val="00E63940"/>
    <w:rsid w:val="00E733A5"/>
    <w:rsid w:val="00E753EC"/>
    <w:rsid w:val="00E84459"/>
    <w:rsid w:val="00E963AC"/>
    <w:rsid w:val="00E971A2"/>
    <w:rsid w:val="00EB2D32"/>
    <w:rsid w:val="00EB7C94"/>
    <w:rsid w:val="00ED257A"/>
    <w:rsid w:val="00EF2358"/>
    <w:rsid w:val="00F3057A"/>
    <w:rsid w:val="00F30E9C"/>
    <w:rsid w:val="00F31C99"/>
    <w:rsid w:val="00F424B0"/>
    <w:rsid w:val="00F43895"/>
    <w:rsid w:val="00F55E4D"/>
    <w:rsid w:val="00F61752"/>
    <w:rsid w:val="00F6261B"/>
    <w:rsid w:val="00F67F95"/>
    <w:rsid w:val="00F80BC0"/>
    <w:rsid w:val="00FC096A"/>
    <w:rsid w:val="00FD22FD"/>
    <w:rsid w:val="00FD7B65"/>
    <w:rsid w:val="00FE2BB2"/>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B48C20C"/>
  <w15:docId w15:val="{FA540CF6-21E2-4871-93CE-7DA241E2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685C8-8E45-43C1-BE19-87124132E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3</TotalTime>
  <Pages>6</Pages>
  <Words>1610</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Lynch, Charlotte</cp:lastModifiedBy>
  <cp:revision>7</cp:revision>
  <cp:lastPrinted>2018-03-14T15:24:00Z</cp:lastPrinted>
  <dcterms:created xsi:type="dcterms:W3CDTF">2018-09-10T10:10:00Z</dcterms:created>
  <dcterms:modified xsi:type="dcterms:W3CDTF">2018-09-12T15:54:00Z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-1959585514</vt:i4>
  </property>
  <property fmtid="{D5CDD505-2E9C-101B-9397-08002B2CF9AE}" pid="3" name="_NewReviewCycle">
    <vt:lpwstr/>
  </property>
  <property fmtid="{D5CDD505-2E9C-101B-9397-08002B2CF9AE}" pid="4" name="_EmailSubject">
    <vt:lpwstr>September reports</vt:lpwstr>
  </property>
  <property fmtid="{D5CDD505-2E9C-101B-9397-08002B2CF9AE}" pid="5" name="_AuthorEmail">
    <vt:lpwstr>michael.jackson@chorley.gov.uk</vt:lpwstr>
  </property>
  <property fmtid="{D5CDD505-2E9C-101B-9397-08002B2CF9AE}" pid="6" name="_AuthorEmailDisplayName">
    <vt:lpwstr>Michael Jackson</vt:lpwstr>
  </property>
  <property fmtid="{D5CDD505-2E9C-101B-9397-08002B2CF9AE}" pid="7" name="_ReviewingToolsShownOnce">
    <vt:lpwstr/>
  </property>
</Properties>
</file>